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044B89" w:rsidRDefault="00582D49" w:rsidP="00582D49">
      <w:pPr>
        <w:spacing w:after="120"/>
        <w:jc w:val="center"/>
        <w:rPr>
          <w:b/>
          <w:bCs/>
          <w:sz w:val="26"/>
          <w:szCs w:val="26"/>
        </w:rPr>
      </w:pPr>
      <w:r w:rsidRPr="00044B89">
        <w:rPr>
          <w:b/>
          <w:bCs/>
          <w:sz w:val="26"/>
          <w:szCs w:val="26"/>
        </w:rPr>
        <w:t xml:space="preserve">HỆ THỐNG BIỂU MẪU BÁO CÁO THỐNG KÊ DÙNG ĐỂ THU THẬP </w:t>
      </w:r>
      <w:r w:rsidRPr="00044B89">
        <w:rPr>
          <w:b/>
          <w:bCs/>
          <w:sz w:val="26"/>
          <w:szCs w:val="26"/>
        </w:rPr>
        <w:br/>
        <w:t>HỆ THỐNG CHỈ TIÊU THỐNG KÊ CẤP TỈNH</w:t>
      </w:r>
    </w:p>
    <w:p w:rsidR="00D62A16" w:rsidRPr="00044B89" w:rsidRDefault="00724D01" w:rsidP="002C1A50">
      <w:pPr>
        <w:spacing w:before="120" w:after="240"/>
        <w:jc w:val="center"/>
        <w:rPr>
          <w:b/>
          <w:bCs/>
          <w:sz w:val="26"/>
          <w:szCs w:val="26"/>
        </w:rPr>
      </w:pPr>
      <w:r w:rsidRPr="00044B89">
        <w:rPr>
          <w:b/>
          <w:bCs/>
          <w:sz w:val="26"/>
          <w:szCs w:val="26"/>
        </w:rPr>
        <w:t xml:space="preserve">Áp dụng đối với: Ngân hàng Nhà nước chi nhánh </w:t>
      </w:r>
      <w:r w:rsidR="003200BC" w:rsidRPr="00044B89">
        <w:rPr>
          <w:b/>
          <w:bCs/>
          <w:sz w:val="26"/>
          <w:szCs w:val="26"/>
        </w:rPr>
        <w:t>Thanh Hóa</w:t>
      </w:r>
      <w:r w:rsidRPr="00044B89">
        <w:rPr>
          <w:b/>
          <w:bCs/>
          <w:sz w:val="26"/>
          <w:szCs w:val="26"/>
        </w:rPr>
        <w:t xml:space="preserve"> </w:t>
      </w:r>
    </w:p>
    <w:p w:rsidR="00582D49" w:rsidRPr="00044B89" w:rsidRDefault="00582D49" w:rsidP="00582D49">
      <w:pPr>
        <w:rPr>
          <w:b/>
          <w:sz w:val="26"/>
          <w:szCs w:val="26"/>
        </w:rPr>
      </w:pPr>
      <w:r w:rsidRPr="00044B89">
        <w:rPr>
          <w:b/>
          <w:sz w:val="26"/>
          <w:szCs w:val="26"/>
        </w:rPr>
        <w:t>I. DANH MỤC VÀ BIỂU MẪU BÁO CÁO THỐNG KÊ</w:t>
      </w:r>
    </w:p>
    <w:p w:rsidR="00582D49" w:rsidRPr="00044B89" w:rsidRDefault="00582D49" w:rsidP="00582D49">
      <w:pPr>
        <w:rPr>
          <w:b/>
          <w:sz w:val="26"/>
          <w:szCs w:val="26"/>
        </w:rPr>
      </w:pPr>
    </w:p>
    <w:tbl>
      <w:tblPr>
        <w:tblW w:w="1488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9"/>
        <w:gridCol w:w="3222"/>
        <w:gridCol w:w="2693"/>
        <w:gridCol w:w="1560"/>
        <w:gridCol w:w="6520"/>
      </w:tblGrid>
      <w:tr w:rsidR="00044B89" w:rsidRPr="00044B89" w:rsidTr="003E5882">
        <w:trPr>
          <w:trHeight w:val="419"/>
        </w:trPr>
        <w:tc>
          <w:tcPr>
            <w:tcW w:w="889" w:type="dxa"/>
            <w:vMerge w:val="restart"/>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STT</w:t>
            </w:r>
          </w:p>
        </w:tc>
        <w:tc>
          <w:tcPr>
            <w:tcW w:w="3222" w:type="dxa"/>
            <w:vMerge w:val="restart"/>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Tên biểu</w:t>
            </w:r>
          </w:p>
        </w:tc>
        <w:tc>
          <w:tcPr>
            <w:tcW w:w="2693" w:type="dxa"/>
            <w:vMerge w:val="restart"/>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Ký hiệu biểu</w:t>
            </w:r>
          </w:p>
        </w:tc>
        <w:tc>
          <w:tcPr>
            <w:tcW w:w="1560" w:type="dxa"/>
            <w:vMerge w:val="restart"/>
            <w:shd w:val="clear" w:color="000000" w:fill="FFFFFF"/>
            <w:vAlign w:val="center"/>
          </w:tcPr>
          <w:p w:rsidR="00083F9A" w:rsidRPr="00044B89" w:rsidRDefault="00083F9A" w:rsidP="00A45666">
            <w:pPr>
              <w:spacing w:before="120" w:after="120"/>
              <w:jc w:val="center"/>
              <w:rPr>
                <w:b/>
                <w:bCs/>
                <w:sz w:val="26"/>
                <w:szCs w:val="26"/>
              </w:rPr>
            </w:pPr>
            <w:r w:rsidRPr="00044B89">
              <w:rPr>
                <w:b/>
                <w:bCs/>
                <w:sz w:val="26"/>
                <w:szCs w:val="26"/>
              </w:rPr>
              <w:t>Kỳ báo cáo</w:t>
            </w:r>
          </w:p>
        </w:tc>
        <w:tc>
          <w:tcPr>
            <w:tcW w:w="6520" w:type="dxa"/>
            <w:vMerge w:val="restart"/>
            <w:shd w:val="clear" w:color="000000" w:fill="FFFFFF"/>
            <w:vAlign w:val="center"/>
          </w:tcPr>
          <w:p w:rsidR="00083F9A" w:rsidRPr="00044B89" w:rsidRDefault="00083F9A" w:rsidP="00A45666">
            <w:pPr>
              <w:spacing w:before="120" w:after="120"/>
              <w:jc w:val="center"/>
              <w:rPr>
                <w:b/>
                <w:bCs/>
                <w:sz w:val="26"/>
                <w:szCs w:val="26"/>
              </w:rPr>
            </w:pPr>
            <w:r w:rsidRPr="00044B89">
              <w:rPr>
                <w:b/>
                <w:bCs/>
                <w:sz w:val="26"/>
                <w:szCs w:val="26"/>
              </w:rPr>
              <w:t>Ngày nhận báo cáo</w:t>
            </w:r>
          </w:p>
        </w:tc>
      </w:tr>
      <w:tr w:rsidR="00044B89" w:rsidRPr="00044B89" w:rsidTr="003E5882">
        <w:trPr>
          <w:trHeight w:val="539"/>
        </w:trPr>
        <w:tc>
          <w:tcPr>
            <w:tcW w:w="889" w:type="dxa"/>
            <w:vMerge/>
            <w:vAlign w:val="center"/>
          </w:tcPr>
          <w:p w:rsidR="00083F9A" w:rsidRPr="00044B89" w:rsidRDefault="00083F9A" w:rsidP="00A45666">
            <w:pPr>
              <w:spacing w:before="120" w:after="120"/>
              <w:jc w:val="center"/>
              <w:rPr>
                <w:b/>
                <w:bCs/>
                <w:sz w:val="26"/>
                <w:szCs w:val="26"/>
              </w:rPr>
            </w:pPr>
          </w:p>
        </w:tc>
        <w:tc>
          <w:tcPr>
            <w:tcW w:w="3222" w:type="dxa"/>
            <w:vMerge/>
            <w:vAlign w:val="center"/>
          </w:tcPr>
          <w:p w:rsidR="00083F9A" w:rsidRPr="00044B89" w:rsidRDefault="00083F9A" w:rsidP="00A45666">
            <w:pPr>
              <w:spacing w:before="120" w:after="120"/>
              <w:jc w:val="center"/>
              <w:rPr>
                <w:b/>
                <w:bCs/>
                <w:sz w:val="26"/>
                <w:szCs w:val="26"/>
              </w:rPr>
            </w:pPr>
          </w:p>
        </w:tc>
        <w:tc>
          <w:tcPr>
            <w:tcW w:w="2693" w:type="dxa"/>
            <w:vMerge/>
            <w:vAlign w:val="center"/>
          </w:tcPr>
          <w:p w:rsidR="00083F9A" w:rsidRPr="00044B89" w:rsidRDefault="00083F9A" w:rsidP="00A45666">
            <w:pPr>
              <w:spacing w:before="120" w:after="120"/>
              <w:jc w:val="center"/>
              <w:rPr>
                <w:b/>
                <w:bCs/>
                <w:sz w:val="26"/>
                <w:szCs w:val="26"/>
              </w:rPr>
            </w:pPr>
          </w:p>
        </w:tc>
        <w:tc>
          <w:tcPr>
            <w:tcW w:w="1560" w:type="dxa"/>
            <w:vMerge/>
            <w:vAlign w:val="center"/>
          </w:tcPr>
          <w:p w:rsidR="00083F9A" w:rsidRPr="00044B89" w:rsidRDefault="00083F9A" w:rsidP="00A45666">
            <w:pPr>
              <w:spacing w:before="120" w:after="120"/>
              <w:jc w:val="center"/>
              <w:rPr>
                <w:b/>
                <w:bCs/>
                <w:sz w:val="26"/>
                <w:szCs w:val="26"/>
              </w:rPr>
            </w:pPr>
          </w:p>
        </w:tc>
        <w:tc>
          <w:tcPr>
            <w:tcW w:w="6520" w:type="dxa"/>
            <w:vMerge/>
            <w:vAlign w:val="center"/>
          </w:tcPr>
          <w:p w:rsidR="00083F9A" w:rsidRPr="00044B89" w:rsidRDefault="00083F9A" w:rsidP="00A45666">
            <w:pPr>
              <w:spacing w:before="120" w:after="120"/>
              <w:jc w:val="center"/>
              <w:rPr>
                <w:b/>
                <w:bCs/>
                <w:sz w:val="26"/>
                <w:szCs w:val="26"/>
              </w:rPr>
            </w:pPr>
          </w:p>
        </w:tc>
      </w:tr>
      <w:tr w:rsidR="00044B89" w:rsidRPr="00044B89" w:rsidTr="003E5882">
        <w:trPr>
          <w:trHeight w:val="340"/>
        </w:trPr>
        <w:tc>
          <w:tcPr>
            <w:tcW w:w="889" w:type="dxa"/>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A</w:t>
            </w:r>
          </w:p>
        </w:tc>
        <w:tc>
          <w:tcPr>
            <w:tcW w:w="3222" w:type="dxa"/>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B</w:t>
            </w:r>
          </w:p>
        </w:tc>
        <w:tc>
          <w:tcPr>
            <w:tcW w:w="2693" w:type="dxa"/>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C</w:t>
            </w:r>
          </w:p>
        </w:tc>
        <w:tc>
          <w:tcPr>
            <w:tcW w:w="1560" w:type="dxa"/>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D</w:t>
            </w:r>
          </w:p>
        </w:tc>
        <w:tc>
          <w:tcPr>
            <w:tcW w:w="6520" w:type="dxa"/>
            <w:shd w:val="clear" w:color="000000" w:fill="FFFFFF"/>
            <w:noWrap/>
            <w:vAlign w:val="center"/>
          </w:tcPr>
          <w:p w:rsidR="00083F9A" w:rsidRPr="00044B89" w:rsidRDefault="00083F9A" w:rsidP="00A45666">
            <w:pPr>
              <w:spacing w:before="120" w:after="120"/>
              <w:jc w:val="center"/>
              <w:rPr>
                <w:b/>
                <w:bCs/>
                <w:sz w:val="26"/>
                <w:szCs w:val="26"/>
              </w:rPr>
            </w:pPr>
            <w:r w:rsidRPr="00044B89">
              <w:rPr>
                <w:b/>
                <w:bCs/>
                <w:sz w:val="26"/>
                <w:szCs w:val="26"/>
              </w:rPr>
              <w:t>E</w:t>
            </w:r>
          </w:p>
        </w:tc>
      </w:tr>
      <w:tr w:rsidR="00044B89" w:rsidRPr="00044B89" w:rsidTr="003E5882">
        <w:trPr>
          <w:trHeight w:val="340"/>
        </w:trPr>
        <w:tc>
          <w:tcPr>
            <w:tcW w:w="889" w:type="dxa"/>
            <w:shd w:val="clear" w:color="000000" w:fill="FFFFFF"/>
            <w:noWrap/>
            <w:vAlign w:val="center"/>
          </w:tcPr>
          <w:p w:rsidR="00582D49" w:rsidRPr="00044B89" w:rsidRDefault="006D0AD3" w:rsidP="00A45666">
            <w:pPr>
              <w:spacing w:before="120" w:after="120"/>
              <w:jc w:val="center"/>
              <w:rPr>
                <w:sz w:val="26"/>
                <w:szCs w:val="26"/>
              </w:rPr>
            </w:pPr>
            <w:r w:rsidRPr="00044B89">
              <w:rPr>
                <w:sz w:val="26"/>
                <w:szCs w:val="26"/>
              </w:rPr>
              <w:t>1</w:t>
            </w:r>
          </w:p>
        </w:tc>
        <w:tc>
          <w:tcPr>
            <w:tcW w:w="3222" w:type="dxa"/>
            <w:shd w:val="clear" w:color="000000" w:fill="FFFFFF"/>
            <w:noWrap/>
            <w:vAlign w:val="center"/>
          </w:tcPr>
          <w:p w:rsidR="00582D49" w:rsidRPr="00044B89" w:rsidRDefault="006D0AD3" w:rsidP="00A45666">
            <w:pPr>
              <w:spacing w:before="120" w:after="120"/>
              <w:rPr>
                <w:bCs/>
                <w:sz w:val="26"/>
                <w:szCs w:val="26"/>
              </w:rPr>
            </w:pPr>
            <w:r w:rsidRPr="00044B89">
              <w:rPr>
                <w:bCs/>
                <w:sz w:val="26"/>
                <w:szCs w:val="26"/>
              </w:rPr>
              <w:t>Một số chỉ tiêu về tiền tệ, ngân hàng</w:t>
            </w:r>
          </w:p>
        </w:tc>
        <w:tc>
          <w:tcPr>
            <w:tcW w:w="2693" w:type="dxa"/>
            <w:shd w:val="clear" w:color="000000" w:fill="FFFFFF"/>
            <w:noWrap/>
            <w:vAlign w:val="center"/>
          </w:tcPr>
          <w:p w:rsidR="00582D49" w:rsidRPr="00044B89" w:rsidRDefault="003E5882" w:rsidP="00A45666">
            <w:pPr>
              <w:spacing w:before="60"/>
              <w:rPr>
                <w:noProof/>
                <w:sz w:val="26"/>
                <w:szCs w:val="26"/>
              </w:rPr>
            </w:pPr>
            <w:r w:rsidRPr="00044B89">
              <w:rPr>
                <w:noProof/>
                <w:sz w:val="26"/>
                <w:szCs w:val="26"/>
              </w:rPr>
              <w:t>001.H/T0701-02-NHNN</w:t>
            </w:r>
          </w:p>
        </w:tc>
        <w:tc>
          <w:tcPr>
            <w:tcW w:w="1560" w:type="dxa"/>
            <w:shd w:val="clear" w:color="000000" w:fill="FFFFFF"/>
            <w:noWrap/>
            <w:vAlign w:val="center"/>
          </w:tcPr>
          <w:p w:rsidR="00582D49" w:rsidRPr="00044B89" w:rsidRDefault="003E5882" w:rsidP="00A45666">
            <w:pPr>
              <w:spacing w:before="120" w:after="120"/>
              <w:jc w:val="center"/>
              <w:rPr>
                <w:sz w:val="26"/>
                <w:szCs w:val="26"/>
              </w:rPr>
            </w:pPr>
            <w:r w:rsidRPr="00044B89">
              <w:rPr>
                <w:sz w:val="26"/>
                <w:szCs w:val="26"/>
              </w:rPr>
              <w:t xml:space="preserve">Tháng, quý, </w:t>
            </w:r>
            <w:r w:rsidR="00E22F91" w:rsidRPr="00044B89">
              <w:rPr>
                <w:sz w:val="26"/>
                <w:szCs w:val="26"/>
              </w:rPr>
              <w:t>năm</w:t>
            </w:r>
          </w:p>
        </w:tc>
        <w:tc>
          <w:tcPr>
            <w:tcW w:w="6520" w:type="dxa"/>
            <w:shd w:val="clear" w:color="000000" w:fill="FFFFFF"/>
            <w:noWrap/>
            <w:vAlign w:val="center"/>
          </w:tcPr>
          <w:p w:rsidR="00E22F91" w:rsidRPr="00044B89" w:rsidRDefault="00E22F91" w:rsidP="00E22F91">
            <w:pPr>
              <w:spacing w:before="120" w:after="120"/>
              <w:rPr>
                <w:sz w:val="26"/>
                <w:szCs w:val="26"/>
              </w:rPr>
            </w:pPr>
            <w:r w:rsidRPr="00044B89">
              <w:rPr>
                <w:sz w:val="26"/>
                <w:szCs w:val="26"/>
              </w:rPr>
              <w:t xml:space="preserve">Ước </w:t>
            </w:r>
            <w:r w:rsidR="008C06EC" w:rsidRPr="00044B89">
              <w:rPr>
                <w:sz w:val="26"/>
                <w:szCs w:val="26"/>
              </w:rPr>
              <w:t xml:space="preserve">tính </w:t>
            </w:r>
            <w:r w:rsidRPr="00044B89">
              <w:rPr>
                <w:sz w:val="26"/>
                <w:szCs w:val="26"/>
              </w:rPr>
              <w:t>tháng: Ngày 19 hàng tháng</w:t>
            </w:r>
          </w:p>
          <w:p w:rsidR="00E22F91" w:rsidRPr="00044B89" w:rsidRDefault="00E22F91" w:rsidP="00E22F91">
            <w:pPr>
              <w:spacing w:before="120" w:after="120"/>
              <w:rPr>
                <w:sz w:val="26"/>
                <w:szCs w:val="26"/>
              </w:rPr>
            </w:pPr>
            <w:r w:rsidRPr="00044B89">
              <w:rPr>
                <w:sz w:val="26"/>
                <w:szCs w:val="26"/>
              </w:rPr>
              <w:t>Sơ bộ tháng: Ngày 19 của tháng sau tháng báo cáo</w:t>
            </w:r>
          </w:p>
          <w:p w:rsidR="00E22F91" w:rsidRPr="00044B89" w:rsidRDefault="00E22F91" w:rsidP="00E22F91">
            <w:pPr>
              <w:spacing w:before="120" w:after="120"/>
              <w:rPr>
                <w:sz w:val="26"/>
                <w:szCs w:val="26"/>
              </w:rPr>
            </w:pPr>
            <w:r w:rsidRPr="00044B89">
              <w:rPr>
                <w:sz w:val="26"/>
                <w:szCs w:val="26"/>
              </w:rPr>
              <w:t>Ước tính quý I: Ngày 19 tháng 3</w:t>
            </w:r>
          </w:p>
          <w:p w:rsidR="00E22F91" w:rsidRPr="00044B89" w:rsidRDefault="00E22F91" w:rsidP="00E22F91">
            <w:pPr>
              <w:spacing w:before="120" w:after="120"/>
              <w:rPr>
                <w:sz w:val="26"/>
                <w:szCs w:val="26"/>
              </w:rPr>
            </w:pPr>
            <w:r w:rsidRPr="00044B89">
              <w:rPr>
                <w:sz w:val="26"/>
                <w:szCs w:val="26"/>
              </w:rPr>
              <w:t>Ước tính quý II và 6 tháng: Ngày 19 tháng 5</w:t>
            </w:r>
          </w:p>
          <w:p w:rsidR="00E22F91" w:rsidRPr="00044B89" w:rsidRDefault="00E22F91" w:rsidP="00E22F91">
            <w:pPr>
              <w:spacing w:before="120" w:after="120"/>
              <w:rPr>
                <w:sz w:val="26"/>
                <w:szCs w:val="26"/>
              </w:rPr>
            </w:pPr>
            <w:r w:rsidRPr="00044B89">
              <w:rPr>
                <w:sz w:val="26"/>
                <w:szCs w:val="26"/>
              </w:rPr>
              <w:t>Ước tính quý III và 9 tháng: Ngày 19 tháng 9</w:t>
            </w:r>
          </w:p>
          <w:p w:rsidR="00E22F91" w:rsidRPr="00044B89" w:rsidRDefault="00E22F91" w:rsidP="00E22F91">
            <w:pPr>
              <w:spacing w:before="120" w:after="120"/>
              <w:rPr>
                <w:sz w:val="26"/>
                <w:szCs w:val="26"/>
              </w:rPr>
            </w:pPr>
            <w:r w:rsidRPr="00044B89">
              <w:rPr>
                <w:sz w:val="26"/>
                <w:szCs w:val="26"/>
              </w:rPr>
              <w:t>Ước tính quý IV và năm báo cáo: Ngày 19 tháng 11</w:t>
            </w:r>
          </w:p>
          <w:p w:rsidR="00E22F91" w:rsidRPr="00044B89" w:rsidRDefault="00E22F91" w:rsidP="00E22F91">
            <w:pPr>
              <w:spacing w:before="120" w:after="120"/>
              <w:rPr>
                <w:sz w:val="26"/>
                <w:szCs w:val="26"/>
              </w:rPr>
            </w:pPr>
            <w:r w:rsidRPr="00044B89">
              <w:rPr>
                <w:sz w:val="26"/>
                <w:szCs w:val="26"/>
              </w:rPr>
              <w:t>Sơ bộ quý I: Ngày 19 tháng 5</w:t>
            </w:r>
          </w:p>
          <w:p w:rsidR="00E22F91" w:rsidRPr="00044B89" w:rsidRDefault="00E22F91" w:rsidP="00E22F91">
            <w:pPr>
              <w:spacing w:before="120" w:after="120"/>
              <w:rPr>
                <w:sz w:val="26"/>
                <w:szCs w:val="26"/>
              </w:rPr>
            </w:pPr>
            <w:r w:rsidRPr="00044B89">
              <w:rPr>
                <w:sz w:val="26"/>
                <w:szCs w:val="26"/>
              </w:rPr>
              <w:t>Sơ bộ quý II và 6 tháng: Ngày 19 tháng 9</w:t>
            </w:r>
          </w:p>
          <w:p w:rsidR="00E22F91" w:rsidRPr="00044B89" w:rsidRDefault="00E22F91" w:rsidP="00E22F91">
            <w:pPr>
              <w:spacing w:before="120" w:after="120"/>
              <w:rPr>
                <w:sz w:val="26"/>
                <w:szCs w:val="26"/>
              </w:rPr>
            </w:pPr>
            <w:r w:rsidRPr="00044B89">
              <w:rPr>
                <w:sz w:val="26"/>
                <w:szCs w:val="26"/>
              </w:rPr>
              <w:t>Sơ bộ quý III và 9 tháng: Ngày 19 tháng 11</w:t>
            </w:r>
          </w:p>
          <w:p w:rsidR="00E22F91" w:rsidRPr="00044B89" w:rsidRDefault="00E22F91" w:rsidP="00E22F91">
            <w:pPr>
              <w:spacing w:before="120" w:after="120"/>
              <w:rPr>
                <w:sz w:val="26"/>
                <w:szCs w:val="26"/>
              </w:rPr>
            </w:pPr>
            <w:r w:rsidRPr="00044B89">
              <w:rPr>
                <w:sz w:val="26"/>
                <w:szCs w:val="26"/>
              </w:rPr>
              <w:t>Sơ bộ quý IV và năm: Ngày 19 tháng 3 năm sau năm báo cáo</w:t>
            </w:r>
          </w:p>
          <w:p w:rsidR="00256A51" w:rsidRPr="00044B89" w:rsidRDefault="00E22F91" w:rsidP="00E22F91">
            <w:pPr>
              <w:spacing w:before="120" w:after="120"/>
              <w:rPr>
                <w:sz w:val="26"/>
                <w:szCs w:val="26"/>
              </w:rPr>
            </w:pPr>
            <w:r w:rsidRPr="00044B89">
              <w:rPr>
                <w:sz w:val="26"/>
                <w:szCs w:val="26"/>
              </w:rPr>
              <w:t>Chính thức tháng, quý, năm: Ngày 19 tháng 5 của năm sau năm báo cáo</w:t>
            </w:r>
          </w:p>
        </w:tc>
      </w:tr>
      <w:tr w:rsidR="00044B89" w:rsidRPr="00044B89" w:rsidTr="003E5882">
        <w:trPr>
          <w:trHeight w:val="340"/>
        </w:trPr>
        <w:tc>
          <w:tcPr>
            <w:tcW w:w="889" w:type="dxa"/>
            <w:shd w:val="clear" w:color="000000" w:fill="FFFFFF"/>
            <w:noWrap/>
            <w:vAlign w:val="center"/>
          </w:tcPr>
          <w:p w:rsidR="007410AE" w:rsidRPr="00044B89" w:rsidRDefault="006D0AD3" w:rsidP="00A45666">
            <w:pPr>
              <w:spacing w:before="120" w:after="120"/>
              <w:jc w:val="center"/>
              <w:rPr>
                <w:sz w:val="26"/>
                <w:szCs w:val="26"/>
              </w:rPr>
            </w:pPr>
            <w:r w:rsidRPr="00044B89">
              <w:rPr>
                <w:sz w:val="26"/>
                <w:szCs w:val="26"/>
              </w:rPr>
              <w:t>2</w:t>
            </w:r>
          </w:p>
        </w:tc>
        <w:tc>
          <w:tcPr>
            <w:tcW w:w="3222" w:type="dxa"/>
            <w:shd w:val="clear" w:color="000000" w:fill="FFFFFF"/>
            <w:noWrap/>
            <w:vAlign w:val="center"/>
          </w:tcPr>
          <w:p w:rsidR="007410AE" w:rsidRPr="00044B89" w:rsidRDefault="00E22F91" w:rsidP="00A45666">
            <w:pPr>
              <w:spacing w:before="120" w:after="120"/>
              <w:rPr>
                <w:bCs/>
                <w:sz w:val="26"/>
                <w:szCs w:val="26"/>
              </w:rPr>
            </w:pPr>
            <w:r w:rsidRPr="00044B89">
              <w:rPr>
                <w:bCs/>
                <w:sz w:val="26"/>
                <w:szCs w:val="26"/>
              </w:rPr>
              <w:t>Tỷ lệ nợ xấu trên tổng nợ</w:t>
            </w:r>
          </w:p>
        </w:tc>
        <w:tc>
          <w:tcPr>
            <w:tcW w:w="2693" w:type="dxa"/>
            <w:shd w:val="clear" w:color="000000" w:fill="FFFFFF"/>
            <w:noWrap/>
            <w:vAlign w:val="center"/>
          </w:tcPr>
          <w:p w:rsidR="007410AE" w:rsidRPr="00044B89" w:rsidRDefault="003E5882" w:rsidP="00A45666">
            <w:pPr>
              <w:spacing w:before="60"/>
              <w:rPr>
                <w:noProof/>
                <w:sz w:val="26"/>
                <w:szCs w:val="26"/>
              </w:rPr>
            </w:pPr>
            <w:r w:rsidRPr="00044B89">
              <w:rPr>
                <w:noProof/>
                <w:sz w:val="26"/>
                <w:szCs w:val="26"/>
              </w:rPr>
              <w:t>002.H/T0703-NHNN</w:t>
            </w:r>
          </w:p>
        </w:tc>
        <w:tc>
          <w:tcPr>
            <w:tcW w:w="1560" w:type="dxa"/>
            <w:shd w:val="clear" w:color="000000" w:fill="FFFFFF"/>
            <w:noWrap/>
            <w:vAlign w:val="center"/>
          </w:tcPr>
          <w:p w:rsidR="007410AE" w:rsidRPr="00044B89" w:rsidRDefault="003E5882" w:rsidP="00A45666">
            <w:pPr>
              <w:spacing w:before="120" w:after="120"/>
              <w:jc w:val="center"/>
              <w:rPr>
                <w:sz w:val="26"/>
                <w:szCs w:val="26"/>
              </w:rPr>
            </w:pPr>
            <w:r w:rsidRPr="00044B89">
              <w:rPr>
                <w:sz w:val="26"/>
                <w:szCs w:val="26"/>
              </w:rPr>
              <w:t xml:space="preserve">Tháng, quý, </w:t>
            </w:r>
            <w:r w:rsidR="00E22F91" w:rsidRPr="00044B89">
              <w:rPr>
                <w:sz w:val="26"/>
                <w:szCs w:val="26"/>
              </w:rPr>
              <w:t>năm</w:t>
            </w:r>
          </w:p>
        </w:tc>
        <w:tc>
          <w:tcPr>
            <w:tcW w:w="6520" w:type="dxa"/>
            <w:shd w:val="clear" w:color="000000" w:fill="FFFFFF"/>
            <w:noWrap/>
            <w:vAlign w:val="center"/>
          </w:tcPr>
          <w:p w:rsidR="007410AE" w:rsidRPr="00044B89" w:rsidRDefault="00E22F91" w:rsidP="00256A51">
            <w:pPr>
              <w:spacing w:before="120" w:after="120"/>
              <w:rPr>
                <w:sz w:val="26"/>
                <w:szCs w:val="26"/>
              </w:rPr>
            </w:pPr>
            <w:r w:rsidRPr="00044B89">
              <w:rPr>
                <w:sz w:val="26"/>
                <w:szCs w:val="26"/>
              </w:rPr>
              <w:t>30 ngày kể từ ngày cuối cùng của kỳ báo cáo</w:t>
            </w:r>
          </w:p>
        </w:tc>
      </w:tr>
    </w:tbl>
    <w:p w:rsidR="00B8152C" w:rsidRPr="00044B89" w:rsidRDefault="00B8152C" w:rsidP="003E5882">
      <w:pPr>
        <w:spacing w:before="120" w:after="120"/>
        <w:rPr>
          <w:rFonts w:ascii="Times New Roman Bold" w:hAnsi="Times New Roman Bold"/>
          <w:b/>
        </w:rPr>
      </w:pPr>
    </w:p>
    <w:p w:rsidR="006F0FC2" w:rsidRPr="00044B89" w:rsidRDefault="006F0FC2" w:rsidP="006F0FC2">
      <w:pPr>
        <w:spacing w:before="120" w:after="120"/>
        <w:rPr>
          <w:rFonts w:ascii="Times New Roman Bold" w:hAnsi="Times New Roman Bold"/>
          <w:b/>
        </w:rPr>
        <w:sectPr w:rsidR="006F0FC2" w:rsidRPr="00044B89" w:rsidSect="00F179C2">
          <w:headerReference w:type="default" r:id="rId8"/>
          <w:footerReference w:type="default" r:id="rId9"/>
          <w:pgSz w:w="16840" w:h="11907" w:orient="landscape" w:code="9"/>
          <w:pgMar w:top="1170" w:right="964" w:bottom="964" w:left="1418" w:header="567" w:footer="567" w:gutter="0"/>
          <w:cols w:space="720"/>
          <w:titlePg/>
          <w:docGrid w:linePitch="360"/>
        </w:sectPr>
      </w:pPr>
    </w:p>
    <w:tbl>
      <w:tblPr>
        <w:tblW w:w="5166" w:type="pct"/>
        <w:tblInd w:w="108" w:type="dxa"/>
        <w:tblLook w:val="04A0" w:firstRow="1" w:lastRow="0" w:firstColumn="1" w:lastColumn="0" w:noHBand="0" w:noVBand="1"/>
      </w:tblPr>
      <w:tblGrid>
        <w:gridCol w:w="4159"/>
        <w:gridCol w:w="3326"/>
        <w:gridCol w:w="2356"/>
      </w:tblGrid>
      <w:tr w:rsidR="00C57145" w:rsidRPr="00044B89" w:rsidTr="00AF5073">
        <w:tc>
          <w:tcPr>
            <w:tcW w:w="2113" w:type="pct"/>
          </w:tcPr>
          <w:p w:rsidR="0046022E" w:rsidRPr="00044B89" w:rsidRDefault="0046022E" w:rsidP="00291E34">
            <w:pPr>
              <w:rPr>
                <w:b/>
                <w:noProof/>
              </w:rPr>
            </w:pPr>
            <w:r w:rsidRPr="00044B89">
              <w:rPr>
                <w:b/>
                <w:noProof/>
                <w:lang w:val="vi-VN"/>
              </w:rPr>
              <w:lastRenderedPageBreak/>
              <w:t>Biểu số 001.</w:t>
            </w:r>
            <w:r w:rsidRPr="00044B89">
              <w:rPr>
                <w:b/>
                <w:noProof/>
              </w:rPr>
              <w:t>H</w:t>
            </w:r>
            <w:r w:rsidR="003E5882" w:rsidRPr="00044B89">
              <w:rPr>
                <w:b/>
                <w:noProof/>
                <w:lang w:val="vi-VN"/>
              </w:rPr>
              <w:t>/T0701-02</w:t>
            </w:r>
            <w:r w:rsidRPr="00044B89">
              <w:rPr>
                <w:b/>
                <w:noProof/>
                <w:lang w:val="vi-VN"/>
              </w:rPr>
              <w:t>-</w:t>
            </w:r>
            <w:r w:rsidR="003E5882" w:rsidRPr="00044B89">
              <w:rPr>
                <w:b/>
                <w:noProof/>
              </w:rPr>
              <w:t>NHNN</w:t>
            </w:r>
          </w:p>
          <w:p w:rsidR="0046022E" w:rsidRPr="00086F74" w:rsidRDefault="00086F74" w:rsidP="00291E34">
            <w:r w:rsidRPr="00086F74">
              <w:t>Ban hành kèm theo Quyết định số 2889/QĐ-UBND ngày 15/8/2023 của UBND tỉnh Thanh Hóa</w:t>
            </w:r>
          </w:p>
          <w:p w:rsidR="0046022E" w:rsidRPr="00044B89" w:rsidRDefault="0046022E" w:rsidP="00291E34">
            <w:r w:rsidRPr="00044B89">
              <w:t xml:space="preserve">Ngày nhận báo cáo: </w:t>
            </w:r>
          </w:p>
          <w:p w:rsidR="0046022E" w:rsidRPr="00044B89" w:rsidRDefault="0046022E" w:rsidP="00291E34">
            <w:r w:rsidRPr="00044B89">
              <w:t xml:space="preserve">Ước  </w:t>
            </w:r>
            <w:r w:rsidR="008C06EC" w:rsidRPr="00044B89">
              <w:t xml:space="preserve">tính </w:t>
            </w:r>
            <w:r w:rsidRPr="00044B89">
              <w:t>tháng: Ngày 19 hàng tháng</w:t>
            </w:r>
          </w:p>
          <w:p w:rsidR="0046022E" w:rsidRPr="00044B89" w:rsidRDefault="0046022E" w:rsidP="00291E34">
            <w:r w:rsidRPr="00044B89">
              <w:t>Sơ bộ tháng: Ngày 19 của tháng sau tháng báo cáo</w:t>
            </w:r>
          </w:p>
          <w:p w:rsidR="0046022E" w:rsidRPr="00044B89" w:rsidRDefault="0046022E" w:rsidP="00291E34">
            <w:r w:rsidRPr="00044B89">
              <w:t>Ước tính quý I: Ngày 19 tháng 3</w:t>
            </w:r>
          </w:p>
          <w:p w:rsidR="0046022E" w:rsidRPr="00044B89" w:rsidRDefault="0046022E" w:rsidP="00291E34">
            <w:r w:rsidRPr="00044B89">
              <w:t>Ước tính quý II và 6 tháng: Ngày 19 tháng 5</w:t>
            </w:r>
          </w:p>
          <w:p w:rsidR="0046022E" w:rsidRPr="00044B89" w:rsidRDefault="0046022E" w:rsidP="00291E34">
            <w:r w:rsidRPr="00044B89">
              <w:t>Ước tính quý III và 9 tháng: Ngày 19 tháng 9</w:t>
            </w:r>
          </w:p>
          <w:p w:rsidR="0046022E" w:rsidRPr="00044B89" w:rsidRDefault="0046022E" w:rsidP="00291E34">
            <w:r w:rsidRPr="00044B89">
              <w:t>Ước tính quý IV và năm báo cáo: Ngày 19 tháng 11</w:t>
            </w:r>
          </w:p>
          <w:p w:rsidR="0046022E" w:rsidRPr="00044B89" w:rsidRDefault="0046022E" w:rsidP="00291E34">
            <w:r w:rsidRPr="00044B89">
              <w:t>Sơ bộ quý I: Ngày 19 tháng 5</w:t>
            </w:r>
          </w:p>
          <w:p w:rsidR="0046022E" w:rsidRPr="00044B89" w:rsidRDefault="0046022E" w:rsidP="00291E34">
            <w:r w:rsidRPr="00044B89">
              <w:t>Sơ bộ quý II và 6 tháng: Ngày 19 tháng 9</w:t>
            </w:r>
          </w:p>
          <w:p w:rsidR="0046022E" w:rsidRPr="00044B89" w:rsidRDefault="0046022E" w:rsidP="00291E34">
            <w:pPr>
              <w:rPr>
                <w:spacing w:val="-4"/>
              </w:rPr>
            </w:pPr>
            <w:r w:rsidRPr="00044B89">
              <w:rPr>
                <w:spacing w:val="-4"/>
              </w:rPr>
              <w:t>Sơ bộ quý III và 9 tháng: Ngày 19 tháng 11</w:t>
            </w:r>
          </w:p>
          <w:p w:rsidR="0046022E" w:rsidRPr="00044B89" w:rsidRDefault="0046022E" w:rsidP="00291E34">
            <w:r w:rsidRPr="00044B89">
              <w:t>Sơ bộ quý IV và năm: Ngày 19 tháng 3 năm sau năm báo cáo</w:t>
            </w:r>
          </w:p>
          <w:p w:rsidR="0046022E" w:rsidRPr="00044B89" w:rsidRDefault="0046022E" w:rsidP="00291E34">
            <w:pPr>
              <w:rPr>
                <w:noProof/>
                <w:lang w:val="vi-VN"/>
              </w:rPr>
            </w:pPr>
            <w:r w:rsidRPr="00044B89">
              <w:t>Chính thức tháng, quý, năm: Ngày 19 tháng 5 của năm sau năm báo cáo</w:t>
            </w:r>
          </w:p>
        </w:tc>
        <w:tc>
          <w:tcPr>
            <w:tcW w:w="1690" w:type="pct"/>
          </w:tcPr>
          <w:p w:rsidR="0046022E" w:rsidRPr="00044B89" w:rsidRDefault="0046022E" w:rsidP="00291E34">
            <w:pPr>
              <w:jc w:val="center"/>
              <w:rPr>
                <w:b/>
              </w:rPr>
            </w:pPr>
            <w:r w:rsidRPr="00044B89">
              <w:rPr>
                <w:b/>
              </w:rPr>
              <w:t>MỘT SỐ CHỈ TIÊU VỀ TIỀN TỆ, NGÂN HÀNG</w:t>
            </w:r>
          </w:p>
          <w:p w:rsidR="0046022E" w:rsidRPr="00044B89" w:rsidRDefault="0046022E" w:rsidP="00291E34">
            <w:pPr>
              <w:jc w:val="center"/>
              <w:rPr>
                <w:noProof/>
                <w:lang w:val="vi-VN"/>
              </w:rPr>
            </w:pPr>
            <w:r w:rsidRPr="00044B89">
              <w:t>Tháng ….., Qúy …., Năm …..</w:t>
            </w:r>
          </w:p>
        </w:tc>
        <w:tc>
          <w:tcPr>
            <w:tcW w:w="1197" w:type="pct"/>
          </w:tcPr>
          <w:p w:rsidR="0046022E" w:rsidRPr="00044B89" w:rsidRDefault="0046022E" w:rsidP="00291E34">
            <w:pPr>
              <w:rPr>
                <w:noProof/>
                <w:lang w:val="vi-VN"/>
              </w:rPr>
            </w:pPr>
            <w:r w:rsidRPr="00044B89">
              <w:rPr>
                <w:noProof/>
                <w:lang w:val="vi-VN"/>
              </w:rPr>
              <w:t>Đơn vị báo cáo:</w:t>
            </w:r>
          </w:p>
          <w:p w:rsidR="0046022E" w:rsidRPr="00044B89" w:rsidRDefault="0046022E" w:rsidP="00291E34">
            <w:pPr>
              <w:rPr>
                <w:noProof/>
                <w:lang w:val="vi-VN"/>
              </w:rPr>
            </w:pPr>
            <w:r w:rsidRPr="00044B89">
              <w:rPr>
                <w:noProof/>
              </w:rPr>
              <w:t xml:space="preserve">Ngân hàng Nhà nước chi nhánh </w:t>
            </w:r>
            <w:r w:rsidR="003200BC" w:rsidRPr="00044B89">
              <w:rPr>
                <w:noProof/>
              </w:rPr>
              <w:t>Thanh Hóa</w:t>
            </w:r>
          </w:p>
          <w:p w:rsidR="0046022E" w:rsidRPr="00044B89" w:rsidRDefault="0046022E" w:rsidP="00291E34">
            <w:pPr>
              <w:rPr>
                <w:noProof/>
                <w:lang w:val="vi-VN"/>
              </w:rPr>
            </w:pPr>
            <w:r w:rsidRPr="00044B89">
              <w:rPr>
                <w:noProof/>
                <w:lang w:val="vi-VN"/>
              </w:rPr>
              <w:t>Đơn vị nhận báo cáo:</w:t>
            </w:r>
          </w:p>
          <w:p w:rsidR="0046022E" w:rsidRPr="00044B89" w:rsidRDefault="0046022E" w:rsidP="003200BC">
            <w:pPr>
              <w:rPr>
                <w:noProof/>
              </w:rPr>
            </w:pPr>
            <w:r w:rsidRPr="00044B89">
              <w:rPr>
                <w:noProof/>
              </w:rPr>
              <w:t>C</w:t>
            </w:r>
            <w:r w:rsidRPr="00044B89">
              <w:rPr>
                <w:noProof/>
                <w:lang w:val="vi-VN"/>
              </w:rPr>
              <w:t>ục Thống kê</w:t>
            </w:r>
            <w:r w:rsidRPr="00044B89">
              <w:rPr>
                <w:noProof/>
              </w:rPr>
              <w:t xml:space="preserve"> </w:t>
            </w:r>
          </w:p>
        </w:tc>
      </w:tr>
    </w:tbl>
    <w:p w:rsidR="0046022E" w:rsidRPr="00044B89" w:rsidRDefault="0046022E" w:rsidP="0046022E"/>
    <w:tbl>
      <w:tblPr>
        <w:tblW w:w="10065" w:type="dxa"/>
        <w:tblInd w:w="57" w:type="dxa"/>
        <w:tblLayout w:type="fixed"/>
        <w:tblCellMar>
          <w:left w:w="28" w:type="dxa"/>
          <w:right w:w="28" w:type="dxa"/>
        </w:tblCellMar>
        <w:tblLook w:val="04A0" w:firstRow="1" w:lastRow="0" w:firstColumn="1" w:lastColumn="0" w:noHBand="0" w:noVBand="1"/>
      </w:tblPr>
      <w:tblGrid>
        <w:gridCol w:w="4395"/>
        <w:gridCol w:w="992"/>
        <w:gridCol w:w="1134"/>
        <w:gridCol w:w="1134"/>
        <w:gridCol w:w="1276"/>
        <w:gridCol w:w="1134"/>
      </w:tblGrid>
      <w:tr w:rsidR="00044B89" w:rsidRPr="00044B89" w:rsidTr="00AF5073">
        <w:trPr>
          <w:trHeight w:val="170"/>
          <w:tblHeader/>
        </w:trPr>
        <w:tc>
          <w:tcPr>
            <w:tcW w:w="439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Cs/>
              </w:rPr>
            </w:pPr>
            <w:r w:rsidRPr="00044B89">
              <w:rPr>
                <w:bCs/>
              </w:rPr>
              <w:t>Chỉ tiêu</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Cs/>
              </w:rPr>
            </w:pPr>
            <w:r w:rsidRPr="00044B89">
              <w:rPr>
                <w:bCs/>
              </w:rPr>
              <w:t>Mã số</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Cs/>
              </w:rPr>
            </w:pPr>
            <w:r w:rsidRPr="00044B89">
              <w:rPr>
                <w:bCs/>
              </w:rPr>
              <w:t>Số liệu kỳ báo cáo (Tỷ đồng)</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Cs/>
              </w:rPr>
            </w:pPr>
            <w:r w:rsidRPr="00044B89">
              <w:rPr>
                <w:bCs/>
              </w:rPr>
              <w:t>Số liệu cùng kỳ năm trước (Tỷ đồng)</w:t>
            </w:r>
          </w:p>
        </w:tc>
        <w:tc>
          <w:tcPr>
            <w:tcW w:w="1276" w:type="dxa"/>
            <w:tcBorders>
              <w:top w:val="single" w:sz="4" w:space="0" w:color="auto"/>
              <w:left w:val="nil"/>
              <w:bottom w:val="single" w:sz="4" w:space="0" w:color="auto"/>
              <w:right w:val="single" w:sz="4" w:space="0" w:color="auto"/>
            </w:tcBorders>
          </w:tcPr>
          <w:p w:rsidR="00AF5073" w:rsidRPr="00044B89" w:rsidRDefault="00AF5073" w:rsidP="00B05C2E">
            <w:pPr>
              <w:spacing w:before="120" w:after="120"/>
              <w:jc w:val="center"/>
              <w:rPr>
                <w:bCs/>
              </w:rPr>
            </w:pPr>
            <w:r w:rsidRPr="00044B89">
              <w:rPr>
                <w:bCs/>
              </w:rPr>
              <w:t>Tốc độ tăng, giảm so với cùng kỳ năm trước (%)</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Cs/>
              </w:rPr>
            </w:pPr>
            <w:r w:rsidRPr="00044B89">
              <w:rPr>
                <w:bCs/>
              </w:rPr>
              <w:t>Tốc độ tăng, giảm so với ngày cuối cùng của năm trước (%)</w:t>
            </w:r>
          </w:p>
        </w:tc>
      </w:tr>
      <w:tr w:rsidR="00044B89" w:rsidRPr="00044B89" w:rsidTr="00AF5073">
        <w:trPr>
          <w:trHeight w:val="170"/>
          <w:tblHeader/>
        </w:trPr>
        <w:tc>
          <w:tcPr>
            <w:tcW w:w="439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A</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B</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1</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2</w:t>
            </w:r>
          </w:p>
        </w:tc>
        <w:tc>
          <w:tcPr>
            <w:tcW w:w="1276" w:type="dxa"/>
            <w:tcBorders>
              <w:top w:val="nil"/>
              <w:left w:val="nil"/>
              <w:bottom w:val="single" w:sz="4" w:space="0" w:color="auto"/>
              <w:right w:val="single" w:sz="4" w:space="0" w:color="auto"/>
            </w:tcBorders>
          </w:tcPr>
          <w:p w:rsidR="00AF5073" w:rsidRPr="00044B89" w:rsidRDefault="00AF5073" w:rsidP="00B05C2E">
            <w:pPr>
              <w:spacing w:before="120" w:after="120"/>
              <w:jc w:val="center"/>
            </w:pPr>
            <w:r w:rsidRPr="00044B89">
              <w:t>3</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4</w:t>
            </w:r>
          </w:p>
        </w:tc>
      </w:tr>
      <w:tr w:rsidR="00044B89" w:rsidRPr="00044B89" w:rsidTr="00AF5073">
        <w:trPr>
          <w:trHeight w:val="170"/>
        </w:trPr>
        <w:tc>
          <w:tcPr>
            <w:tcW w:w="4395"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rPr>
            </w:pPr>
            <w:r w:rsidRPr="00044B89">
              <w:rPr>
                <w:b/>
                <w:bCs/>
              </w:rPr>
              <w:t xml:space="preserve">I. SỐ DƯ HUY ĐỘNG VỐN </w:t>
            </w:r>
          </w:p>
        </w:tc>
        <w:tc>
          <w:tcPr>
            <w:tcW w:w="992"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single"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i/>
                <w:iCs/>
              </w:rPr>
            </w:pPr>
            <w:r w:rsidRPr="00044B89">
              <w:rPr>
                <w:b/>
                <w:bCs/>
                <w:i/>
                <w:iCs/>
              </w:rPr>
              <w:t>1. Bằng đồng Việt Nam</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Cs/>
              </w:rPr>
            </w:pPr>
            <w:r w:rsidRPr="00044B89">
              <w:rPr>
                <w:bCs/>
              </w:rPr>
              <w:t>01</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Trong đó:</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a. Tiền gửi của các tổ chức kinh tế</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02</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03</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04</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rPr>
                <w:b/>
                <w:bCs/>
                <w:i/>
                <w:iCs/>
              </w:rPr>
            </w:pPr>
            <w:r w:rsidRPr="00044B89">
              <w:t>b. Tiền gửi tiết kiệm của dân cư</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05</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rPr>
                <w:b/>
                <w:bCs/>
                <w:i/>
                <w:iCs/>
              </w:rPr>
            </w:pPr>
            <w:r w:rsidRPr="00044B89">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06</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rPr>
                <w:b/>
                <w:bCs/>
                <w:i/>
                <w:iCs/>
              </w:rPr>
            </w:pPr>
            <w:r w:rsidRPr="00044B89">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07</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i/>
                <w:iCs/>
              </w:rPr>
            </w:pPr>
            <w:r w:rsidRPr="00044B89">
              <w:rPr>
                <w:b/>
                <w:bCs/>
                <w:i/>
                <w:iCs/>
              </w:rPr>
              <w:lastRenderedPageBreak/>
              <w:t xml:space="preserve">2. Bằng ngoại tệ </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08</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Trong đó:</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a. Tiền gửi của các tổ chức kinh tế</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09</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10</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11</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b. Tiền gửi tiết kiệm của dân cư</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12</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13</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14</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i/>
                <w:iCs/>
              </w:rPr>
            </w:pPr>
            <w:r w:rsidRPr="00044B89">
              <w:rPr>
                <w:b/>
                <w:bCs/>
                <w:i/>
                <w:iCs/>
              </w:rPr>
              <w:t>3. Tổng cộng (15=01+08)</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15</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Trong đó:</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a. Tiền gửi của các tổ chức kinh tế (16=02+09)</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16</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 xml:space="preserve"> + Không kỳ hạn (17=03+10)</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17</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 xml:space="preserve"> + Có kỳ hạn (18=04+11)</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18</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b. Tiền gửi tiết kiệm của dân cư (19=05+12)</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19</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AF5073" w:rsidRPr="00044B89" w:rsidRDefault="00AF5073" w:rsidP="00B05C2E">
            <w:pPr>
              <w:spacing w:before="120" w:after="120"/>
            </w:pPr>
            <w:r w:rsidRPr="00044B89">
              <w:t xml:space="preserve"> + Không kỳ hạn (20=06+13)</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20</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rPr>
                <w:b/>
                <w:bCs/>
              </w:rPr>
            </w:pP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Có kỳ hạn (21=07+14)</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21</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rPr>
            </w:pPr>
            <w:r w:rsidRPr="00044B89">
              <w:rPr>
                <w:b/>
                <w:bCs/>
              </w:rPr>
              <w:t xml:space="preserve">II. DƯ NỢ TÍN DỤNG </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i/>
                <w:iCs/>
              </w:rPr>
            </w:pPr>
            <w:r w:rsidRPr="00044B89">
              <w:rPr>
                <w:b/>
                <w:bCs/>
                <w:i/>
                <w:iCs/>
              </w:rPr>
              <w:t>1. Bằng đồng Việt Nam</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rPr>
                <w:bCs/>
              </w:rPr>
            </w:pPr>
            <w:r w:rsidRPr="00044B89">
              <w:rPr>
                <w:bCs/>
              </w:rPr>
              <w:t>22</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Ngắn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23</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Trung và dài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24</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i/>
                <w:iCs/>
              </w:rPr>
            </w:pPr>
            <w:r w:rsidRPr="00044B89">
              <w:rPr>
                <w:b/>
                <w:bCs/>
                <w:i/>
                <w:iCs/>
              </w:rPr>
              <w:t>2. Bằng ngoại tệ</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25</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lastRenderedPageBreak/>
              <w:t xml:space="preserve"> + Ngắn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26</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Trung và dài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27</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rPr>
                <w:b/>
                <w:bCs/>
              </w:rPr>
            </w:pPr>
            <w:r w:rsidRPr="00044B89">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rPr>
                <w:b/>
                <w:bCs/>
              </w:rPr>
            </w:pPr>
            <w:r w:rsidRPr="00044B89">
              <w:rPr>
                <w:b/>
                <w:bCs/>
              </w:rPr>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rPr>
                <w:b/>
                <w:bCs/>
                <w:i/>
                <w:iCs/>
              </w:rPr>
            </w:pPr>
            <w:r w:rsidRPr="00044B89">
              <w:rPr>
                <w:b/>
                <w:bCs/>
                <w:i/>
                <w:iCs/>
              </w:rPr>
              <w:t>3. Tổng cộng (28=29+30)</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28</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Ngắn hạn (29=23+26)</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29</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dotted"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r w:rsidR="00044B89" w:rsidRPr="00044B89" w:rsidTr="00AF5073">
        <w:trPr>
          <w:trHeight w:val="170"/>
        </w:trPr>
        <w:tc>
          <w:tcPr>
            <w:tcW w:w="4395"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AF5073" w:rsidRPr="00044B89" w:rsidRDefault="00AF5073" w:rsidP="00B05C2E">
            <w:pPr>
              <w:spacing w:before="120" w:after="120"/>
            </w:pPr>
            <w:r w:rsidRPr="00044B89">
              <w:t xml:space="preserve"> + Trung và dài hạn (30=24+27)</w:t>
            </w:r>
          </w:p>
        </w:tc>
        <w:tc>
          <w:tcPr>
            <w:tcW w:w="992"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tcPr>
          <w:p w:rsidR="00AF5073" w:rsidRPr="00044B89" w:rsidRDefault="00AF5073" w:rsidP="00B05C2E">
            <w:pPr>
              <w:spacing w:before="120" w:after="120"/>
              <w:jc w:val="center"/>
            </w:pPr>
            <w:r w:rsidRPr="00044B89">
              <w:t>30</w:t>
            </w:r>
          </w:p>
        </w:tc>
        <w:tc>
          <w:tcPr>
            <w:tcW w:w="1134"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jc w:val="center"/>
            </w:pPr>
            <w:r w:rsidRPr="00044B89">
              <w:t> </w:t>
            </w:r>
          </w:p>
        </w:tc>
        <w:tc>
          <w:tcPr>
            <w:tcW w:w="1134"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c>
          <w:tcPr>
            <w:tcW w:w="1276" w:type="dxa"/>
            <w:tcBorders>
              <w:top w:val="dotted" w:sz="4" w:space="0" w:color="auto"/>
              <w:left w:val="nil"/>
              <w:bottom w:val="single" w:sz="4" w:space="0" w:color="auto"/>
              <w:right w:val="single" w:sz="4" w:space="0" w:color="auto"/>
            </w:tcBorders>
          </w:tcPr>
          <w:p w:rsidR="00AF5073" w:rsidRPr="00044B89" w:rsidRDefault="00AF5073" w:rsidP="00B05C2E">
            <w:pPr>
              <w:spacing w:before="120" w:after="120"/>
            </w:pPr>
          </w:p>
        </w:tc>
        <w:tc>
          <w:tcPr>
            <w:tcW w:w="1134"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AF5073" w:rsidRPr="00044B89" w:rsidRDefault="00AF5073" w:rsidP="00B05C2E">
            <w:pPr>
              <w:spacing w:before="120" w:after="120"/>
            </w:pPr>
            <w:r w:rsidRPr="00044B89">
              <w:t> </w:t>
            </w:r>
          </w:p>
        </w:tc>
      </w:tr>
    </w:tbl>
    <w:p w:rsidR="0046022E" w:rsidRPr="00044B89" w:rsidRDefault="0046022E" w:rsidP="0046022E">
      <w:pPr>
        <w:tabs>
          <w:tab w:val="left" w:pos="2685"/>
        </w:tabs>
        <w:rPr>
          <w:rFonts w:ascii="Times New Roman Bold" w:hAnsi="Times New Roman Bold"/>
        </w:rPr>
      </w:pPr>
      <w:r w:rsidRPr="00044B89">
        <w:rPr>
          <w:rFonts w:ascii="Times New Roman Bold" w:hAnsi="Times New Roman Bold"/>
        </w:rPr>
        <w:tab/>
      </w:r>
    </w:p>
    <w:p w:rsidR="0046022E" w:rsidRPr="00044B89" w:rsidRDefault="0046022E" w:rsidP="0046022E">
      <w:pPr>
        <w:tabs>
          <w:tab w:val="left" w:pos="2685"/>
        </w:tabs>
        <w:rPr>
          <w:rFonts w:ascii="Times New Roman Bold" w:hAnsi="Times New Roman Bold"/>
        </w:rPr>
      </w:pPr>
      <w:r w:rsidRPr="00044B89">
        <w:rPr>
          <w:rFonts w:ascii="Times New Roman Bold" w:hAnsi="Times New Roman Bold"/>
        </w:rPr>
        <w:tab/>
      </w:r>
    </w:p>
    <w:tbl>
      <w:tblPr>
        <w:tblW w:w="10065" w:type="dxa"/>
        <w:tblInd w:w="108" w:type="dxa"/>
        <w:tblLayout w:type="fixed"/>
        <w:tblLook w:val="04A0" w:firstRow="1" w:lastRow="0" w:firstColumn="1" w:lastColumn="0" w:noHBand="0" w:noVBand="1"/>
      </w:tblPr>
      <w:tblGrid>
        <w:gridCol w:w="3405"/>
        <w:gridCol w:w="3116"/>
        <w:gridCol w:w="3544"/>
      </w:tblGrid>
      <w:tr w:rsidR="00044B89" w:rsidRPr="00044B89" w:rsidTr="00AF5073">
        <w:tc>
          <w:tcPr>
            <w:tcW w:w="3405" w:type="dxa"/>
          </w:tcPr>
          <w:p w:rsidR="0046022E" w:rsidRPr="00044B89" w:rsidRDefault="0046022E" w:rsidP="00B05C2E">
            <w:pPr>
              <w:spacing w:before="80"/>
              <w:jc w:val="center"/>
              <w:rPr>
                <w:b/>
              </w:rPr>
            </w:pPr>
          </w:p>
          <w:p w:rsidR="0046022E" w:rsidRPr="00044B89" w:rsidRDefault="0046022E" w:rsidP="00B05C2E">
            <w:pPr>
              <w:spacing w:before="80"/>
              <w:jc w:val="center"/>
              <w:rPr>
                <w:b/>
              </w:rPr>
            </w:pPr>
            <w:r w:rsidRPr="00044B89">
              <w:rPr>
                <w:b/>
              </w:rPr>
              <w:t>Người lập biểu</w:t>
            </w:r>
          </w:p>
          <w:p w:rsidR="0046022E" w:rsidRPr="00044B89" w:rsidRDefault="0046022E" w:rsidP="00B05C2E">
            <w:pPr>
              <w:spacing w:before="80"/>
              <w:jc w:val="center"/>
              <w:rPr>
                <w:b/>
                <w:i/>
              </w:rPr>
            </w:pPr>
            <w:r w:rsidRPr="00044B89">
              <w:rPr>
                <w:i/>
              </w:rPr>
              <w:t>(Ký, họ tên)</w:t>
            </w:r>
          </w:p>
        </w:tc>
        <w:tc>
          <w:tcPr>
            <w:tcW w:w="3116" w:type="dxa"/>
          </w:tcPr>
          <w:p w:rsidR="0046022E" w:rsidRPr="00044B89" w:rsidRDefault="0046022E" w:rsidP="00B05C2E">
            <w:pPr>
              <w:spacing w:before="80"/>
              <w:jc w:val="center"/>
              <w:rPr>
                <w:b/>
              </w:rPr>
            </w:pPr>
          </w:p>
          <w:p w:rsidR="0046022E" w:rsidRPr="00044B89" w:rsidRDefault="0046022E" w:rsidP="00B05C2E">
            <w:pPr>
              <w:spacing w:before="80"/>
              <w:jc w:val="center"/>
              <w:rPr>
                <w:b/>
              </w:rPr>
            </w:pPr>
            <w:r w:rsidRPr="00044B89">
              <w:rPr>
                <w:b/>
              </w:rPr>
              <w:t>Người kiểm tra biểu</w:t>
            </w:r>
          </w:p>
          <w:p w:rsidR="0046022E" w:rsidRPr="00044B89" w:rsidRDefault="0046022E" w:rsidP="00B05C2E">
            <w:pPr>
              <w:spacing w:before="80"/>
              <w:jc w:val="center"/>
            </w:pPr>
            <w:r w:rsidRPr="00044B89">
              <w:rPr>
                <w:i/>
              </w:rPr>
              <w:t>(Ký, họ tên)</w:t>
            </w:r>
          </w:p>
        </w:tc>
        <w:tc>
          <w:tcPr>
            <w:tcW w:w="3544" w:type="dxa"/>
            <w:vAlign w:val="center"/>
          </w:tcPr>
          <w:p w:rsidR="0046022E" w:rsidRPr="00044B89" w:rsidRDefault="0046022E" w:rsidP="00B05C2E">
            <w:pPr>
              <w:spacing w:before="80"/>
              <w:jc w:val="center"/>
              <w:rPr>
                <w:i/>
              </w:rPr>
            </w:pPr>
            <w:r w:rsidRPr="00044B89">
              <w:rPr>
                <w:i/>
              </w:rPr>
              <w:t>Ngày … tháng … năm …</w:t>
            </w:r>
          </w:p>
          <w:p w:rsidR="0046022E" w:rsidRPr="00044B89" w:rsidRDefault="0046022E" w:rsidP="00B05C2E">
            <w:pPr>
              <w:spacing w:before="80"/>
              <w:jc w:val="center"/>
              <w:rPr>
                <w:b/>
              </w:rPr>
            </w:pPr>
            <w:r w:rsidRPr="00044B89">
              <w:rPr>
                <w:b/>
              </w:rPr>
              <w:t>Thủ trưởng đơn vị</w:t>
            </w:r>
          </w:p>
          <w:p w:rsidR="0046022E" w:rsidRPr="00044B89" w:rsidRDefault="0046022E" w:rsidP="00291E34">
            <w:pPr>
              <w:spacing w:before="80"/>
              <w:jc w:val="center"/>
              <w:rPr>
                <w:i/>
              </w:rPr>
            </w:pPr>
            <w:r w:rsidRPr="00044B89">
              <w:rPr>
                <w:i/>
              </w:rPr>
              <w:t>(Ký, đóng dấu, họ tên)</w:t>
            </w:r>
          </w:p>
        </w:tc>
      </w:tr>
    </w:tbl>
    <w:p w:rsidR="00686C54" w:rsidRPr="00044B89" w:rsidRDefault="00686C54" w:rsidP="006B272D">
      <w:pPr>
        <w:spacing w:before="120" w:after="120" w:line="288" w:lineRule="auto"/>
        <w:ind w:firstLine="720"/>
        <w:jc w:val="both"/>
        <w:rPr>
          <w:rFonts w:ascii="Times New Roman Bold" w:hAnsi="Times New Roman Bold"/>
          <w:b/>
          <w:sz w:val="28"/>
          <w:szCs w:val="28"/>
          <w:lang w:val="pt-BR"/>
        </w:rPr>
      </w:pPr>
      <w:r w:rsidRPr="00044B89">
        <w:br w:type="page"/>
      </w:r>
      <w:r w:rsidR="003E5882" w:rsidRPr="00044B89">
        <w:rPr>
          <w:rFonts w:ascii="Times New Roman Bold" w:hAnsi="Times New Roman Bold"/>
          <w:b/>
          <w:sz w:val="28"/>
          <w:szCs w:val="28"/>
        </w:rPr>
        <w:lastRenderedPageBreak/>
        <w:t>BIỂU SỐ 001.H/T0701-02-NHNN</w:t>
      </w:r>
      <w:r w:rsidRPr="00044B89">
        <w:rPr>
          <w:rFonts w:ascii="Times New Roman Bold" w:hAnsi="Times New Roman Bold"/>
          <w:b/>
          <w:sz w:val="28"/>
          <w:szCs w:val="28"/>
        </w:rPr>
        <w:t>: MỘT SỐ CHỈ TIÊU VỀ TIỀN TỆ, NGÂN HÀNG</w:t>
      </w:r>
    </w:p>
    <w:p w:rsidR="00686C54" w:rsidRPr="00044B89" w:rsidRDefault="00686C54" w:rsidP="006B272D">
      <w:pPr>
        <w:tabs>
          <w:tab w:val="left" w:pos="720"/>
          <w:tab w:val="left" w:pos="9540"/>
        </w:tabs>
        <w:spacing w:before="120" w:after="120" w:line="288" w:lineRule="auto"/>
        <w:ind w:firstLine="720"/>
        <w:jc w:val="both"/>
        <w:rPr>
          <w:b/>
          <w:sz w:val="28"/>
          <w:szCs w:val="28"/>
        </w:rPr>
      </w:pPr>
      <w:r w:rsidRPr="00044B89">
        <w:rPr>
          <w:b/>
          <w:sz w:val="28"/>
          <w:szCs w:val="28"/>
        </w:rPr>
        <w:t>1. Khái niệm và phương pháp tính</w:t>
      </w:r>
    </w:p>
    <w:p w:rsidR="00686C54" w:rsidRPr="00044B89" w:rsidRDefault="00686C54" w:rsidP="006B272D">
      <w:pPr>
        <w:spacing w:before="120" w:after="120" w:line="288" w:lineRule="auto"/>
        <w:ind w:firstLine="720"/>
        <w:jc w:val="both"/>
        <w:rPr>
          <w:b/>
          <w:sz w:val="28"/>
          <w:szCs w:val="28"/>
        </w:rPr>
      </w:pPr>
      <w:r w:rsidRPr="00044B89">
        <w:rPr>
          <w:b/>
          <w:bCs/>
          <w:sz w:val="28"/>
          <w:szCs w:val="28"/>
        </w:rPr>
        <w:t xml:space="preserve">1.1. </w:t>
      </w:r>
      <w:r w:rsidRPr="00044B89">
        <w:rPr>
          <w:b/>
          <w:sz w:val="28"/>
          <w:szCs w:val="28"/>
        </w:rPr>
        <w:t>Huy động vốn</w:t>
      </w:r>
    </w:p>
    <w:p w:rsidR="00686C54" w:rsidRPr="00044B89" w:rsidRDefault="00686C54" w:rsidP="006B272D">
      <w:pPr>
        <w:tabs>
          <w:tab w:val="left" w:pos="0"/>
          <w:tab w:val="left" w:pos="360"/>
          <w:tab w:val="left" w:pos="900"/>
          <w:tab w:val="left" w:pos="3330"/>
        </w:tabs>
        <w:spacing w:before="120" w:after="120" w:line="288" w:lineRule="auto"/>
        <w:ind w:firstLine="720"/>
        <w:jc w:val="both"/>
        <w:rPr>
          <w:sz w:val="28"/>
          <w:szCs w:val="28"/>
          <w:lang w:val="nl-NL"/>
        </w:rPr>
      </w:pPr>
      <w:r w:rsidRPr="00044B89">
        <w:rPr>
          <w:sz w:val="28"/>
          <w:szCs w:val="28"/>
          <w:lang w:val="vi-VN"/>
        </w:rPr>
        <w:t xml:space="preserve">Số dư huy động vốn của tổ chức tín dụng, chi nhánh ngân hàng nước ngoài là số tiền bằng đồng Việt Nam, bằng ngoại tệ tại một thời điểm nhất định mà các tổ chức tín dụng, chi nhánh ngân hàng nước ngoài nhận của các tổ chức, cá nhân là người cư trú của Việt Nam </w:t>
      </w:r>
      <w:r w:rsidRPr="00044B89">
        <w:rPr>
          <w:iCs/>
          <w:sz w:val="28"/>
          <w:szCs w:val="28"/>
          <w:lang w:val="vi-VN"/>
        </w:rPr>
        <w:t>thuộc khu vực thể chế phi tài chính, khu vực thể chế hộ gia đình, khu vực thể chế không vì lợi nhuận phục vụ hộ gia đình, các tổ chức tài chính không phải là tổ chức tín dụng như bảo hiểm tiền gửi Việt Nam, bảo hiểm xã hội Việt Nam, quỹ đầu tư phát triển tỉnh thành phố trực thuộc trung ương, doanh nghiệp bảo hiểm, quỹ bảo lãnh tín dụng cho doanh nghiệp nhỏ và vừa, tổ chức không phải tổ chức tín dụng cung ứng dịch vụ thanh toán, công ty chứng khoán, công ty quản lý quỹ đầu tư chứng khoán,...</w:t>
      </w:r>
      <w:r w:rsidRPr="00044B89">
        <w:rPr>
          <w:sz w:val="28"/>
          <w:szCs w:val="28"/>
          <w:lang w:val="vi-VN"/>
        </w:rPr>
        <w:t xml:space="preserve"> dưới hình thức nhận tiền gửi không kỳ hạn, tiền gửi có kỳ hạn, tiền gửi tiết kiệm và các hình thức nhận tiền gửi khác theo quy tắc có hoàn trả đầy đủ tiền gốc, lãi cho người gửi tiền theo thỏa thuận</w:t>
      </w:r>
      <w:r w:rsidRPr="00044B89">
        <w:rPr>
          <w:sz w:val="28"/>
          <w:szCs w:val="28"/>
          <w:lang w:val="nl-NL"/>
        </w:rPr>
        <w:t>.</w:t>
      </w:r>
    </w:p>
    <w:p w:rsidR="00686C54" w:rsidRPr="00044B89" w:rsidRDefault="00686C54" w:rsidP="006B272D">
      <w:pPr>
        <w:tabs>
          <w:tab w:val="left" w:pos="0"/>
          <w:tab w:val="left" w:pos="360"/>
          <w:tab w:val="left" w:pos="900"/>
        </w:tabs>
        <w:spacing w:before="120" w:after="120" w:line="288" w:lineRule="auto"/>
        <w:ind w:firstLine="720"/>
        <w:jc w:val="both"/>
        <w:rPr>
          <w:spacing w:val="-2"/>
          <w:sz w:val="28"/>
          <w:szCs w:val="28"/>
          <w:lang w:val="vi-VN"/>
        </w:rPr>
      </w:pPr>
      <w:r w:rsidRPr="00044B89">
        <w:rPr>
          <w:spacing w:val="-2"/>
          <w:sz w:val="28"/>
          <w:szCs w:val="28"/>
          <w:lang w:val="vi-VN"/>
        </w:rPr>
        <w:t>Tiền gửi không kỳ hạn là các khoản tiền gửi của tổ chức kinh tế và cá nhân tại tổ chức tín dụng, chi nhánh ngân hàng nước ngoài dưới dạng không kỳ hạn. Loại tiền gửi này có thể được sử dụng trực tiếp để thực hiện thanh toán, chuyển tiền bằng cách viết séc, hối phiếu, lệnh chi, hoặc bằng các phương tiện thanh toán trực tiếp khác.</w:t>
      </w:r>
    </w:p>
    <w:p w:rsidR="00686C54" w:rsidRPr="00044B89" w:rsidRDefault="00686C54" w:rsidP="006B272D">
      <w:pPr>
        <w:tabs>
          <w:tab w:val="left" w:pos="0"/>
          <w:tab w:val="left" w:pos="360"/>
          <w:tab w:val="left" w:pos="900"/>
        </w:tabs>
        <w:spacing w:before="120" w:after="120" w:line="288" w:lineRule="auto"/>
        <w:ind w:firstLine="720"/>
        <w:jc w:val="both"/>
        <w:rPr>
          <w:spacing w:val="-2"/>
          <w:sz w:val="28"/>
          <w:szCs w:val="28"/>
          <w:lang w:val="vi-VN"/>
        </w:rPr>
      </w:pPr>
      <w:r w:rsidRPr="00044B89">
        <w:rPr>
          <w:sz w:val="28"/>
          <w:szCs w:val="28"/>
          <w:lang w:val="vi-VN"/>
        </w:rPr>
        <w:tab/>
      </w:r>
      <w:r w:rsidRPr="00044B89">
        <w:rPr>
          <w:spacing w:val="-2"/>
          <w:sz w:val="28"/>
          <w:szCs w:val="28"/>
          <w:lang w:val="vi-VN"/>
        </w:rPr>
        <w:t>Tiền gửi có kỳ hạn là các khoản tiền gửi của tổ chức kinh tế có kỳ hạn và tiền gửi của cá nhân có kỳ hạn tại các tổ chức tín dụng, chi nhánh ngân hàng nước ngoài.</w:t>
      </w:r>
    </w:p>
    <w:p w:rsidR="00686C54" w:rsidRPr="00044B89" w:rsidRDefault="00686C54" w:rsidP="006B272D">
      <w:pPr>
        <w:spacing w:before="120" w:after="120" w:line="288" w:lineRule="auto"/>
        <w:ind w:firstLine="720"/>
        <w:jc w:val="both"/>
        <w:rPr>
          <w:b/>
          <w:bCs/>
          <w:sz w:val="28"/>
          <w:szCs w:val="28"/>
        </w:rPr>
      </w:pPr>
      <w:r w:rsidRPr="00044B89">
        <w:rPr>
          <w:b/>
          <w:bCs/>
          <w:sz w:val="28"/>
          <w:szCs w:val="28"/>
        </w:rPr>
        <w:t>1.2. Dư nợ tín dụng</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Dư nợ tín dụng là toàn bộ số dư tại một thời điểm cụ thể của các khoản cấp tín dụng của tổ chức tín dụng, chi nhánh ngân hàng nước ngoài cho các tổ chức và cá nhân là người cư trú của Việt Nam thuộc khu vực thể chế phi tài chính, khu vực thể chế hộ gia đình, khu vực thể chế không vì lợi nhuận phục vụ hộ gia đình, các tổ chức tài chính không phải là tổ chức tín dụng như bảo hiểm tiền gửi Việt Nam, bảo hiểm xã hội Việt Nam, quỹ đầu tư phát triển tỉnh</w:t>
      </w:r>
      <w:r w:rsidRPr="00044B89">
        <w:rPr>
          <w:iCs/>
          <w:sz w:val="28"/>
          <w:szCs w:val="28"/>
        </w:rPr>
        <w:t>,</w:t>
      </w:r>
      <w:r w:rsidRPr="00044B89">
        <w:rPr>
          <w:iCs/>
          <w:sz w:val="28"/>
          <w:szCs w:val="28"/>
          <w:lang w:val="vi-VN"/>
        </w:rPr>
        <w:t xml:space="preserve"> thành phố trực thuộc trung ương, doanh nghiệp bảo hiểm, quỹ bảo lãnh tín dụng cho doanh nghiệp nhỏ và vừa, tổ chức không phải tổ chức tín dụng cung ứng dịch vụ thanh toán, công ty chứng khoán, công ty quản lý quỹ đầu tư chứng khoán,...</w:t>
      </w:r>
      <w:r w:rsidRPr="00044B89">
        <w:rPr>
          <w:sz w:val="28"/>
          <w:szCs w:val="28"/>
          <w:lang w:val="vi-VN"/>
        </w:rPr>
        <w:t xml:space="preserve"> </w:t>
      </w:r>
      <w:r w:rsidRPr="00044B89">
        <w:rPr>
          <w:iCs/>
          <w:sz w:val="28"/>
          <w:szCs w:val="28"/>
          <w:lang w:val="vi-VN"/>
        </w:rPr>
        <w:t xml:space="preserve">dưới các hình thức sau: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 xml:space="preserve">(a) Cho vay;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 xml:space="preserve">(b) Chiết khấu, tái chiết khấu các công cụ chuyển nhượng và các giấy tờ có giá khác;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lastRenderedPageBreak/>
        <w:t xml:space="preserve">(c) Cho thuê tài chính;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 xml:space="preserve">(d) Bao thanh toán;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 xml:space="preserve">(đ) Các khoản trả thay cá nhân, tổ chức trong trường hợp cá nhân, tổ chức được bảo lãnh không thực hiện được nghĩa vụ của mình khi đến hạn thanh toán;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 xml:space="preserve">(e) Phát hành thẻ tín dụng; </w:t>
      </w:r>
    </w:p>
    <w:p w:rsidR="00686C54" w:rsidRPr="00044B89" w:rsidRDefault="00686C54" w:rsidP="006B272D">
      <w:pPr>
        <w:tabs>
          <w:tab w:val="left" w:pos="-90"/>
          <w:tab w:val="left" w:pos="0"/>
        </w:tabs>
        <w:spacing w:before="120" w:after="120" w:line="288" w:lineRule="auto"/>
        <w:ind w:firstLine="720"/>
        <w:jc w:val="both"/>
        <w:rPr>
          <w:iCs/>
          <w:sz w:val="28"/>
          <w:szCs w:val="28"/>
          <w:lang w:val="vi-VN"/>
        </w:rPr>
      </w:pPr>
      <w:r w:rsidRPr="00044B89">
        <w:rPr>
          <w:iCs/>
          <w:sz w:val="28"/>
          <w:szCs w:val="28"/>
          <w:lang w:val="vi-VN"/>
        </w:rPr>
        <w:t xml:space="preserve">(f) Mua, đầu tư trái phiếu doanh nghiệp (không bao gồm trái phiếu VAMC); </w:t>
      </w:r>
    </w:p>
    <w:p w:rsidR="00686C54" w:rsidRPr="00044B89" w:rsidRDefault="00686C54" w:rsidP="006B272D">
      <w:pPr>
        <w:tabs>
          <w:tab w:val="left" w:pos="-90"/>
          <w:tab w:val="left" w:pos="0"/>
        </w:tabs>
        <w:spacing w:before="120" w:after="120" w:line="288" w:lineRule="auto"/>
        <w:ind w:firstLine="720"/>
        <w:jc w:val="both"/>
        <w:rPr>
          <w:sz w:val="28"/>
          <w:szCs w:val="28"/>
        </w:rPr>
      </w:pPr>
      <w:r w:rsidRPr="00044B89">
        <w:rPr>
          <w:iCs/>
          <w:sz w:val="28"/>
          <w:szCs w:val="28"/>
          <w:lang w:val="vi-VN"/>
        </w:rPr>
        <w:t>(g) Các nghiệp vụ cấp tín dụng khác được ngân hàng chấp nhận chấp thuận.</w:t>
      </w:r>
    </w:p>
    <w:p w:rsidR="00686C54" w:rsidRPr="00044B89" w:rsidRDefault="00686C54" w:rsidP="006B272D">
      <w:pPr>
        <w:spacing w:before="120" w:after="120" w:line="288" w:lineRule="auto"/>
        <w:ind w:firstLine="720"/>
        <w:jc w:val="both"/>
        <w:rPr>
          <w:spacing w:val="-2"/>
          <w:sz w:val="28"/>
          <w:szCs w:val="28"/>
        </w:rPr>
      </w:pPr>
      <w:r w:rsidRPr="00044B89">
        <w:rPr>
          <w:spacing w:val="-2"/>
          <w:sz w:val="28"/>
          <w:szCs w:val="28"/>
        </w:rPr>
        <w:t>- Tín dụng ngắn hạn là các khoản cấp tín dụng có thời hạn tối đa 01 (một) năm.</w:t>
      </w:r>
    </w:p>
    <w:p w:rsidR="00686C54" w:rsidRPr="00044B89" w:rsidRDefault="00686C54" w:rsidP="006B272D">
      <w:pPr>
        <w:spacing w:before="120" w:after="120" w:line="288" w:lineRule="auto"/>
        <w:ind w:firstLine="720"/>
        <w:jc w:val="both"/>
        <w:rPr>
          <w:sz w:val="28"/>
          <w:szCs w:val="28"/>
        </w:rPr>
      </w:pPr>
      <w:r w:rsidRPr="00044B89">
        <w:rPr>
          <w:sz w:val="28"/>
          <w:szCs w:val="28"/>
        </w:rPr>
        <w:t>- Tín dụng trung hạn là các khoản cấp tín dụng có thời hạn trên 01 (một) năm và tối đa 05 (năm) năm.</w:t>
      </w:r>
    </w:p>
    <w:p w:rsidR="00686C54" w:rsidRPr="00044B89" w:rsidRDefault="00686C54" w:rsidP="006B272D">
      <w:pPr>
        <w:tabs>
          <w:tab w:val="left" w:pos="180"/>
        </w:tabs>
        <w:spacing w:before="120" w:after="120" w:line="288" w:lineRule="auto"/>
        <w:ind w:firstLine="720"/>
        <w:jc w:val="both"/>
        <w:rPr>
          <w:sz w:val="28"/>
          <w:szCs w:val="28"/>
        </w:rPr>
      </w:pPr>
      <w:r w:rsidRPr="00044B89">
        <w:rPr>
          <w:sz w:val="28"/>
          <w:szCs w:val="28"/>
        </w:rPr>
        <w:t>- Tín dụng dài hạn là các khoản cấp tín dụng có thời hạn trên 05 (năm) năm.</w:t>
      </w:r>
    </w:p>
    <w:p w:rsidR="00686C54" w:rsidRPr="00044B89" w:rsidRDefault="00686C54" w:rsidP="006B272D">
      <w:pPr>
        <w:tabs>
          <w:tab w:val="left" w:pos="720"/>
          <w:tab w:val="left" w:pos="9540"/>
        </w:tabs>
        <w:spacing w:before="120" w:after="120" w:line="288" w:lineRule="auto"/>
        <w:ind w:firstLine="720"/>
        <w:jc w:val="both"/>
        <w:rPr>
          <w:b/>
          <w:sz w:val="28"/>
          <w:szCs w:val="28"/>
        </w:rPr>
      </w:pPr>
      <w:r w:rsidRPr="00044B89">
        <w:rPr>
          <w:b/>
          <w:sz w:val="28"/>
          <w:szCs w:val="28"/>
        </w:rPr>
        <w:t>2. Cách ghi biểu</w:t>
      </w:r>
    </w:p>
    <w:p w:rsidR="00686C54" w:rsidRPr="00044B89" w:rsidRDefault="00686C54" w:rsidP="006B272D">
      <w:pPr>
        <w:spacing w:before="120" w:after="120" w:line="288" w:lineRule="auto"/>
        <w:ind w:firstLine="720"/>
        <w:jc w:val="both"/>
        <w:rPr>
          <w:sz w:val="28"/>
          <w:szCs w:val="28"/>
        </w:rPr>
      </w:pPr>
      <w:r w:rsidRPr="00044B89">
        <w:rPr>
          <w:sz w:val="28"/>
          <w:szCs w:val="28"/>
        </w:rPr>
        <w:t xml:space="preserve">- Cột 1, 2: Ghi số dư tại ngày cuối cùng của kỳ báo </w:t>
      </w:r>
      <w:r w:rsidRPr="00044B89">
        <w:rPr>
          <w:sz w:val="28"/>
          <w:szCs w:val="28"/>
          <w:lang w:val="vi-VN"/>
        </w:rPr>
        <w:t>cáo của các tổ chức tín dụng và chi nhánh ngân hàng nước ngoài tương</w:t>
      </w:r>
      <w:r w:rsidRPr="00044B89">
        <w:rPr>
          <w:sz w:val="28"/>
          <w:szCs w:val="28"/>
        </w:rPr>
        <w:t xml:space="preserve"> ứng với các nội dung của cột A.</w:t>
      </w:r>
      <w:r w:rsidRPr="00044B89">
        <w:rPr>
          <w:sz w:val="28"/>
          <w:szCs w:val="28"/>
          <w:lang w:val="vi-VN"/>
        </w:rPr>
        <w:t xml:space="preserve"> </w:t>
      </w:r>
    </w:p>
    <w:p w:rsidR="00686C54" w:rsidRPr="00044B89" w:rsidRDefault="00686C54" w:rsidP="006B272D">
      <w:pPr>
        <w:spacing w:before="120" w:after="120" w:line="288" w:lineRule="auto"/>
        <w:ind w:firstLine="720"/>
        <w:jc w:val="both"/>
        <w:rPr>
          <w:sz w:val="28"/>
          <w:szCs w:val="28"/>
        </w:rPr>
      </w:pPr>
      <w:r w:rsidRPr="00044B89">
        <w:rPr>
          <w:sz w:val="28"/>
          <w:szCs w:val="28"/>
        </w:rPr>
        <w:t xml:space="preserve">- Cột 3, 4: Ghi </w:t>
      </w:r>
      <w:r w:rsidRPr="00044B89">
        <w:rPr>
          <w:bCs/>
          <w:sz w:val="28"/>
          <w:szCs w:val="28"/>
        </w:rPr>
        <w:t xml:space="preserve">tốc độ tăng, giảm so với cùng kỳ năm trước, so với ngày cuối năm trước tương </w:t>
      </w:r>
      <w:r w:rsidRPr="00044B89">
        <w:rPr>
          <w:sz w:val="28"/>
          <w:szCs w:val="28"/>
        </w:rPr>
        <w:t>ứng với các nội dung của cột A.</w:t>
      </w:r>
    </w:p>
    <w:p w:rsidR="00686C54" w:rsidRPr="00044B89" w:rsidRDefault="00686C54" w:rsidP="006B272D">
      <w:pPr>
        <w:widowControl w:val="0"/>
        <w:spacing w:before="120" w:after="120" w:line="288" w:lineRule="auto"/>
        <w:ind w:firstLine="720"/>
        <w:jc w:val="both"/>
        <w:rPr>
          <w:sz w:val="28"/>
          <w:szCs w:val="28"/>
        </w:rPr>
      </w:pPr>
      <w:r w:rsidRPr="00044B89">
        <w:rPr>
          <w:sz w:val="28"/>
          <w:szCs w:val="28"/>
        </w:rPr>
        <w:t>Đối với số liệu ước tính tháng: Là số liệu thực hiện đến thời điểm ngày 15 hàng tháng. Ngày báo cáo là ngày 19 hàng tháng.</w:t>
      </w:r>
    </w:p>
    <w:p w:rsidR="00686C54" w:rsidRPr="00044B89" w:rsidRDefault="00686C54" w:rsidP="006B272D">
      <w:pPr>
        <w:widowControl w:val="0"/>
        <w:spacing w:before="120" w:after="120" w:line="288" w:lineRule="auto"/>
        <w:ind w:firstLine="720"/>
        <w:jc w:val="both"/>
        <w:rPr>
          <w:sz w:val="28"/>
          <w:szCs w:val="28"/>
        </w:rPr>
      </w:pPr>
      <w:r w:rsidRPr="00044B89">
        <w:rPr>
          <w:sz w:val="28"/>
          <w:szCs w:val="28"/>
        </w:rPr>
        <w:t>Đối với số liệu sơ bộ tháng: Là số liệu trọn tháng. Ngày báo cáo là ngày 19 của tháng sau tháng báo cáo.</w:t>
      </w:r>
    </w:p>
    <w:p w:rsidR="00686C54" w:rsidRPr="00044B89" w:rsidRDefault="00686C54" w:rsidP="006B272D">
      <w:pPr>
        <w:widowControl w:val="0"/>
        <w:spacing w:before="120" w:after="120" w:line="288" w:lineRule="auto"/>
        <w:ind w:firstLine="720"/>
        <w:jc w:val="both"/>
        <w:rPr>
          <w:sz w:val="28"/>
          <w:szCs w:val="28"/>
        </w:rPr>
      </w:pPr>
      <w:r w:rsidRPr="00044B89">
        <w:rPr>
          <w:sz w:val="28"/>
          <w:szCs w:val="28"/>
        </w:rPr>
        <w:t>Đối với số liệu ước tính quý I: Là số liệu thực hiện đến thời điểm ngày 15/3. Ngày báo cáo là 19/3.</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ước tính quý II và 6 tháng: Là số liệu thực hiện đến thời điểm ngày 15/5 năm báo cáo. Ngày báo cáo là 19/5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ước tính quý III và 9 tháng: Là số liệu thực hiện đến thời điểm ngày 15/9 năm báo cáo. Ngày báo cáo là 19/9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ước tính quý IV và năm: Là số liệu thực hiện đến thời điểm ngày 15/11 năm báo cáo. Ngày báo cáo là 19/11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sơ bộ quý I: Là số liệu trọn quý báo cáo. Ngày báo cáo là 19/5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lastRenderedPageBreak/>
        <w:t>Đối với số liệu sơ bộ quý II và 6 tháng: Là số liệu trọn quý báo cáo. Ngày báo cáo là 19/9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sơ bộ quý III và 9 tháng: Là số liệu trọn quý báo cáo. Ngày báo cáo là 19/11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sơ bộ quý IV và năm: Là số liệu trọn quý, năm báo cáo. Ngày báo cáo là 19/3 năm sau năm báo cáo.</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Đối với số liệu chính thức tháng, quý và năm: Ngày báo cáo là 19/5 năm sau năm báo cáo.</w:t>
      </w:r>
    </w:p>
    <w:p w:rsidR="00686C54" w:rsidRPr="00044B89" w:rsidRDefault="00686C54" w:rsidP="006B272D">
      <w:pPr>
        <w:spacing w:before="120" w:after="120" w:line="288" w:lineRule="auto"/>
        <w:ind w:firstLine="720"/>
        <w:jc w:val="both"/>
        <w:rPr>
          <w:sz w:val="28"/>
          <w:szCs w:val="28"/>
          <w:lang w:val="pt-BR"/>
        </w:rPr>
      </w:pPr>
      <w:r w:rsidRPr="00044B89">
        <w:rPr>
          <w:b/>
          <w:sz w:val="28"/>
          <w:szCs w:val="28"/>
          <w:lang w:val="pt-BR"/>
        </w:rPr>
        <w:t>3. Phạm vi và thời kỳ thu thập số liệu</w:t>
      </w:r>
    </w:p>
    <w:p w:rsidR="00686C54" w:rsidRPr="00044B89" w:rsidRDefault="00686C54" w:rsidP="006B272D">
      <w:pPr>
        <w:spacing w:before="120" w:after="120" w:line="288" w:lineRule="auto"/>
        <w:ind w:firstLine="720"/>
        <w:jc w:val="both"/>
        <w:rPr>
          <w:sz w:val="28"/>
          <w:szCs w:val="28"/>
          <w:lang w:val="pt-BR"/>
        </w:rPr>
      </w:pPr>
      <w:r w:rsidRPr="00044B89">
        <w:rPr>
          <w:sz w:val="28"/>
          <w:szCs w:val="28"/>
          <w:lang w:val="pt-BR"/>
        </w:rPr>
        <w:t>Phạm vi toàn tỉnh. Số liệu thu thập theo tháng/quý/năm báo cáo.</w:t>
      </w:r>
    </w:p>
    <w:p w:rsidR="00686C54" w:rsidRPr="00044B89" w:rsidRDefault="00686C54" w:rsidP="006B272D">
      <w:pPr>
        <w:tabs>
          <w:tab w:val="left" w:pos="720"/>
          <w:tab w:val="left" w:pos="9540"/>
        </w:tabs>
        <w:spacing w:before="120" w:after="120" w:line="288" w:lineRule="auto"/>
        <w:ind w:firstLine="720"/>
        <w:jc w:val="both"/>
        <w:rPr>
          <w:b/>
          <w:sz w:val="28"/>
          <w:szCs w:val="28"/>
        </w:rPr>
      </w:pPr>
      <w:r w:rsidRPr="00044B89">
        <w:rPr>
          <w:b/>
          <w:sz w:val="28"/>
          <w:szCs w:val="28"/>
        </w:rPr>
        <w:t>4. Nguồn số liệu</w:t>
      </w:r>
    </w:p>
    <w:p w:rsidR="00686C54" w:rsidRPr="00044B89" w:rsidRDefault="00686C54" w:rsidP="006B272D">
      <w:pPr>
        <w:tabs>
          <w:tab w:val="left" w:pos="720"/>
          <w:tab w:val="left" w:pos="9540"/>
        </w:tabs>
        <w:spacing w:before="120" w:after="120" w:line="288" w:lineRule="auto"/>
        <w:ind w:firstLine="720"/>
        <w:jc w:val="both"/>
        <w:rPr>
          <w:sz w:val="28"/>
          <w:szCs w:val="28"/>
        </w:rPr>
      </w:pPr>
      <w:r w:rsidRPr="00044B89">
        <w:rPr>
          <w:sz w:val="28"/>
          <w:szCs w:val="28"/>
        </w:rPr>
        <w:t>Ngân hàng Nhà nước chi nhánh tỉnh</w:t>
      </w:r>
      <w:r w:rsidR="003200BC" w:rsidRPr="00044B89">
        <w:rPr>
          <w:sz w:val="28"/>
          <w:szCs w:val="28"/>
        </w:rPr>
        <w:t xml:space="preserve"> Thanh Hóa</w:t>
      </w:r>
      <w:r w:rsidRPr="00044B89">
        <w:rPr>
          <w:sz w:val="28"/>
          <w:szCs w:val="28"/>
        </w:rPr>
        <w:t>.</w:t>
      </w:r>
    </w:p>
    <w:p w:rsidR="00686C54" w:rsidRPr="00044B89" w:rsidRDefault="00686C54"/>
    <w:tbl>
      <w:tblPr>
        <w:tblW w:w="9496" w:type="dxa"/>
        <w:tblInd w:w="28" w:type="dxa"/>
        <w:tblLayout w:type="fixed"/>
        <w:tblCellMar>
          <w:left w:w="28" w:type="dxa"/>
          <w:right w:w="28" w:type="dxa"/>
        </w:tblCellMar>
        <w:tblLook w:val="04A0" w:firstRow="1" w:lastRow="0" w:firstColumn="1" w:lastColumn="0" w:noHBand="0" w:noVBand="1"/>
      </w:tblPr>
      <w:tblGrid>
        <w:gridCol w:w="3515"/>
        <w:gridCol w:w="3827"/>
        <w:gridCol w:w="2154"/>
      </w:tblGrid>
      <w:tr w:rsidR="00CE2323" w:rsidRPr="00044B89" w:rsidTr="00086F74">
        <w:trPr>
          <w:trHeight w:val="170"/>
        </w:trPr>
        <w:tc>
          <w:tcPr>
            <w:tcW w:w="3515" w:type="dxa"/>
            <w:tcMar>
              <w:left w:w="28" w:type="dxa"/>
              <w:right w:w="28" w:type="dxa"/>
            </w:tcMar>
          </w:tcPr>
          <w:p w:rsidR="00C57145" w:rsidRPr="00044B89" w:rsidRDefault="00C57145" w:rsidP="00CE2323">
            <w:pPr>
              <w:pStyle w:val="t"/>
              <w:pageBreakBefore/>
              <w:rPr>
                <w:rFonts w:ascii="Times New Roman" w:hAnsi="Times New Roman" w:cs="Times New Roman"/>
                <w:b/>
                <w:w w:val="100"/>
                <w:sz w:val="24"/>
                <w:szCs w:val="24"/>
              </w:rPr>
            </w:pPr>
            <w:r w:rsidRPr="00044B89">
              <w:rPr>
                <w:rFonts w:ascii="Times New Roman" w:hAnsi="Times New Roman" w:cs="Times New Roman"/>
                <w:b/>
                <w:w w:val="100"/>
                <w:sz w:val="24"/>
                <w:szCs w:val="24"/>
              </w:rPr>
              <w:lastRenderedPageBreak/>
              <w:t xml:space="preserve">Biểu số: </w:t>
            </w:r>
            <w:r w:rsidR="003E5882" w:rsidRPr="00044B89">
              <w:rPr>
                <w:rFonts w:ascii="Times New Roman" w:hAnsi="Times New Roman" w:cs="Times New Roman"/>
                <w:b/>
                <w:w w:val="100"/>
                <w:sz w:val="24"/>
                <w:szCs w:val="24"/>
                <w:lang w:val="es-ES"/>
              </w:rPr>
              <w:t>002.H/T0703</w:t>
            </w:r>
            <w:r w:rsidRPr="00044B89">
              <w:rPr>
                <w:rFonts w:ascii="Times New Roman" w:hAnsi="Times New Roman" w:cs="Times New Roman"/>
                <w:b/>
                <w:w w:val="100"/>
                <w:sz w:val="24"/>
                <w:szCs w:val="24"/>
                <w:lang w:val="es-ES"/>
              </w:rPr>
              <w:t>-</w:t>
            </w:r>
            <w:r w:rsidR="003E5882" w:rsidRPr="00044B89">
              <w:rPr>
                <w:rFonts w:ascii="Times New Roman" w:hAnsi="Times New Roman" w:cs="Times New Roman"/>
                <w:b/>
                <w:w w:val="100"/>
                <w:sz w:val="24"/>
                <w:szCs w:val="24"/>
              </w:rPr>
              <w:t>NHNN</w:t>
            </w:r>
          </w:p>
          <w:p w:rsidR="00C57145" w:rsidRPr="00044B89" w:rsidRDefault="00086F74" w:rsidP="00CE2323">
            <w:r>
              <w:rPr>
                <w:sz w:val="26"/>
                <w:szCs w:val="26"/>
              </w:rPr>
              <w:t>Ban hành kèm theo Quyết định số 2889/QĐ-UBND ngày 15/8/2023 của UBND tỉnh Thanh Hóa</w:t>
            </w:r>
            <w:r w:rsidR="00C57145" w:rsidRPr="00044B89">
              <w:t xml:space="preserve"> </w:t>
            </w:r>
          </w:p>
          <w:p w:rsidR="00C57145" w:rsidRPr="00044B89" w:rsidRDefault="00C57145" w:rsidP="00CE2323">
            <w:pPr>
              <w:pStyle w:val="t"/>
              <w:pageBreakBefore/>
              <w:rPr>
                <w:rFonts w:ascii="Times New Roman" w:hAnsi="Times New Roman" w:cs="Times New Roman"/>
                <w:w w:val="100"/>
                <w:sz w:val="24"/>
                <w:szCs w:val="24"/>
              </w:rPr>
            </w:pPr>
            <w:r w:rsidRPr="00044B89">
              <w:rPr>
                <w:rFonts w:ascii="Times New Roman" w:hAnsi="Times New Roman" w:cs="Times New Roman"/>
                <w:w w:val="100"/>
                <w:sz w:val="24"/>
                <w:szCs w:val="24"/>
              </w:rPr>
              <w:t>Ngày nhận báo cáo: 30 ngày kể từ ngày cuối cùng của kỳ báo cáo</w:t>
            </w:r>
          </w:p>
        </w:tc>
        <w:tc>
          <w:tcPr>
            <w:tcW w:w="3827" w:type="dxa"/>
            <w:tcMar>
              <w:left w:w="28" w:type="dxa"/>
              <w:right w:w="28" w:type="dxa"/>
            </w:tcMar>
          </w:tcPr>
          <w:p w:rsidR="003200BC" w:rsidRPr="00044B89" w:rsidRDefault="00C57145" w:rsidP="00CE2323">
            <w:pPr>
              <w:pStyle w:val="e"/>
              <w:spacing w:before="0" w:after="0"/>
              <w:ind w:left="22"/>
              <w:rPr>
                <w:rFonts w:ascii="Times New Roman" w:hAnsi="Times New Roman" w:cs="Times New Roman"/>
                <w:w w:val="100"/>
                <w:lang w:val="en-US"/>
              </w:rPr>
            </w:pPr>
            <w:r w:rsidRPr="00044B89">
              <w:rPr>
                <w:rFonts w:ascii="Times New Roman" w:hAnsi="Times New Roman" w:cs="Times New Roman"/>
                <w:w w:val="100"/>
                <w:lang w:val="en-US"/>
              </w:rPr>
              <w:t xml:space="preserve">TỶ LỆ NỢ XẤU </w:t>
            </w:r>
          </w:p>
          <w:p w:rsidR="00C57145" w:rsidRPr="00044B89" w:rsidRDefault="00C57145" w:rsidP="00CE2323">
            <w:pPr>
              <w:pStyle w:val="e"/>
              <w:spacing w:before="0" w:after="0"/>
              <w:ind w:left="22"/>
              <w:rPr>
                <w:rFonts w:ascii="Times New Roman" w:hAnsi="Times New Roman" w:cs="Times New Roman"/>
                <w:w w:val="100"/>
                <w:lang w:val="en-US"/>
              </w:rPr>
            </w:pPr>
            <w:r w:rsidRPr="00044B89">
              <w:rPr>
                <w:rFonts w:ascii="Times New Roman" w:hAnsi="Times New Roman" w:cs="Times New Roman"/>
                <w:w w:val="100"/>
                <w:lang w:val="en-US"/>
              </w:rPr>
              <w:t xml:space="preserve">TRÊN TỔNG NỢ </w:t>
            </w:r>
          </w:p>
          <w:p w:rsidR="00C57145" w:rsidRPr="00044B89" w:rsidRDefault="00C57145" w:rsidP="00CE2323">
            <w:pPr>
              <w:pStyle w:val="e"/>
              <w:spacing w:before="0" w:after="0"/>
              <w:rPr>
                <w:rFonts w:ascii="Times New Roman" w:hAnsi="Times New Roman" w:cs="Times New Roman"/>
                <w:b w:val="0"/>
                <w:w w:val="100"/>
              </w:rPr>
            </w:pPr>
          </w:p>
          <w:p w:rsidR="00C57145" w:rsidRPr="00044B89" w:rsidRDefault="00C57145" w:rsidP="00CE2323">
            <w:pPr>
              <w:pStyle w:val="e"/>
              <w:spacing w:before="0" w:after="0"/>
              <w:rPr>
                <w:rFonts w:ascii="Times New Roman" w:hAnsi="Times New Roman" w:cs="Times New Roman"/>
                <w:b w:val="0"/>
                <w:w w:val="100"/>
              </w:rPr>
            </w:pPr>
            <w:r w:rsidRPr="00044B89">
              <w:rPr>
                <w:rFonts w:ascii="Times New Roman" w:hAnsi="Times New Roman" w:cs="Times New Roman"/>
                <w:b w:val="0"/>
                <w:w w:val="100"/>
                <w:lang w:val="en-US"/>
              </w:rPr>
              <w:t>Tháng</w:t>
            </w:r>
            <w:r w:rsidR="00CE2323" w:rsidRPr="00044B89">
              <w:rPr>
                <w:rFonts w:ascii="Times New Roman" w:hAnsi="Times New Roman" w:cs="Times New Roman"/>
                <w:b w:val="0"/>
                <w:w w:val="100"/>
                <w:lang w:val="en-US"/>
              </w:rPr>
              <w:t xml:space="preserve"> …..</w:t>
            </w:r>
            <w:r w:rsidRPr="00044B89">
              <w:rPr>
                <w:rFonts w:ascii="Times New Roman" w:hAnsi="Times New Roman" w:cs="Times New Roman"/>
                <w:b w:val="0"/>
                <w:w w:val="100"/>
                <w:lang w:val="en-US"/>
              </w:rPr>
              <w:t>, Quý</w:t>
            </w:r>
            <w:r w:rsidR="00CE2323" w:rsidRPr="00044B89">
              <w:rPr>
                <w:rFonts w:ascii="Times New Roman" w:hAnsi="Times New Roman" w:cs="Times New Roman"/>
                <w:b w:val="0"/>
                <w:w w:val="100"/>
                <w:lang w:val="en-US"/>
              </w:rPr>
              <w:t xml:space="preserve"> ….., Năm …..</w:t>
            </w:r>
          </w:p>
        </w:tc>
        <w:tc>
          <w:tcPr>
            <w:tcW w:w="2154" w:type="dxa"/>
            <w:tcMar>
              <w:left w:w="28" w:type="dxa"/>
              <w:right w:w="28" w:type="dxa"/>
            </w:tcMar>
          </w:tcPr>
          <w:p w:rsidR="00C57145" w:rsidRPr="00044B89" w:rsidRDefault="00C57145" w:rsidP="00CE2323">
            <w:pPr>
              <w:pStyle w:val="t"/>
              <w:pageBreakBefore/>
              <w:rPr>
                <w:rFonts w:ascii="Times New Roman" w:hAnsi="Times New Roman" w:cs="Times New Roman"/>
                <w:w w:val="100"/>
                <w:sz w:val="24"/>
                <w:szCs w:val="24"/>
              </w:rPr>
            </w:pPr>
            <w:r w:rsidRPr="00044B89">
              <w:rPr>
                <w:rFonts w:ascii="Times New Roman" w:hAnsi="Times New Roman" w:cs="Times New Roman"/>
                <w:w w:val="100"/>
                <w:sz w:val="24"/>
                <w:szCs w:val="24"/>
              </w:rPr>
              <w:t>Đơn vị báo cáo:</w:t>
            </w:r>
            <w:r w:rsidRPr="00044B89">
              <w:rPr>
                <w:rFonts w:ascii="Times New Roman" w:hAnsi="Times New Roman" w:cs="Times New Roman"/>
                <w:w w:val="100"/>
                <w:sz w:val="24"/>
                <w:szCs w:val="24"/>
              </w:rPr>
              <w:br/>
              <w:t>Ngân hàng Nhà nước chi nhánh</w:t>
            </w:r>
            <w:r w:rsidR="003200BC" w:rsidRPr="00044B89">
              <w:rPr>
                <w:rFonts w:ascii="Times New Roman" w:hAnsi="Times New Roman" w:cs="Times New Roman"/>
                <w:w w:val="100"/>
                <w:sz w:val="24"/>
                <w:szCs w:val="24"/>
              </w:rPr>
              <w:t xml:space="preserve"> Thanh Hóa</w:t>
            </w:r>
          </w:p>
          <w:p w:rsidR="00C57145" w:rsidRPr="00044B89" w:rsidRDefault="00C57145" w:rsidP="00CE2323">
            <w:pPr>
              <w:pStyle w:val="t"/>
              <w:pageBreakBefore/>
              <w:ind w:left="85" w:hanging="85"/>
              <w:rPr>
                <w:rFonts w:ascii="Times New Roman" w:hAnsi="Times New Roman" w:cs="Times New Roman"/>
                <w:w w:val="100"/>
                <w:sz w:val="24"/>
                <w:szCs w:val="24"/>
              </w:rPr>
            </w:pPr>
            <w:r w:rsidRPr="00044B89">
              <w:rPr>
                <w:rFonts w:ascii="Times New Roman" w:hAnsi="Times New Roman" w:cs="Times New Roman"/>
                <w:w w:val="100"/>
                <w:sz w:val="24"/>
                <w:szCs w:val="24"/>
              </w:rPr>
              <w:t>Đơn vị nhận báo cáo:</w:t>
            </w:r>
          </w:p>
          <w:p w:rsidR="00C57145" w:rsidRPr="00044B89" w:rsidRDefault="00C57145" w:rsidP="003200BC">
            <w:pPr>
              <w:pStyle w:val="t"/>
              <w:pageBreakBefore/>
              <w:ind w:left="85" w:hanging="85"/>
              <w:rPr>
                <w:rFonts w:ascii="Times New Roman" w:hAnsi="Times New Roman" w:cs="Times New Roman"/>
                <w:w w:val="100"/>
                <w:sz w:val="24"/>
                <w:szCs w:val="24"/>
                <w:lang w:val="es-ES"/>
              </w:rPr>
            </w:pPr>
            <w:r w:rsidRPr="00044B89">
              <w:rPr>
                <w:rFonts w:ascii="Times New Roman" w:hAnsi="Times New Roman" w:cs="Times New Roman"/>
                <w:w w:val="100"/>
                <w:sz w:val="24"/>
                <w:szCs w:val="24"/>
              </w:rPr>
              <w:t>Cục Thống kê</w:t>
            </w:r>
          </w:p>
        </w:tc>
      </w:tr>
    </w:tbl>
    <w:p w:rsidR="00C57145" w:rsidRPr="00044B89" w:rsidRDefault="00C57145" w:rsidP="00C57145">
      <w:pPr>
        <w:ind w:firstLine="540"/>
        <w:jc w:val="both"/>
        <w:rPr>
          <w:b/>
        </w:rPr>
      </w:pPr>
    </w:p>
    <w:p w:rsidR="00CE2323" w:rsidRPr="00044B89" w:rsidRDefault="00CE2323" w:rsidP="00C57145">
      <w:pPr>
        <w:ind w:firstLine="540"/>
        <w:jc w:val="both"/>
        <w:rPr>
          <w:b/>
        </w:rPr>
      </w:pPr>
    </w:p>
    <w:tbl>
      <w:tblPr>
        <w:tblW w:w="9781" w:type="dxa"/>
        <w:tblInd w:w="57" w:type="dxa"/>
        <w:tblLayout w:type="fixed"/>
        <w:tblCellMar>
          <w:left w:w="28" w:type="dxa"/>
          <w:right w:w="28" w:type="dxa"/>
        </w:tblCellMar>
        <w:tblLook w:val="04A0" w:firstRow="1" w:lastRow="0" w:firstColumn="1" w:lastColumn="0" w:noHBand="0" w:noVBand="1"/>
      </w:tblPr>
      <w:tblGrid>
        <w:gridCol w:w="5529"/>
        <w:gridCol w:w="850"/>
        <w:gridCol w:w="3402"/>
      </w:tblGrid>
      <w:tr w:rsidR="00044B89" w:rsidRPr="00044B89" w:rsidTr="00244A8F">
        <w:trPr>
          <w:trHeight w:val="170"/>
          <w:tblHeader/>
        </w:trPr>
        <w:tc>
          <w:tcPr>
            <w:tcW w:w="55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ind w:left="709"/>
              <w:jc w:val="center"/>
              <w:rPr>
                <w:bCs/>
              </w:rPr>
            </w:pPr>
            <w:r w:rsidRPr="00044B89">
              <w:rPr>
                <w:bCs/>
              </w:rPr>
              <w:t>Chỉ tiêu</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Cs/>
              </w:rPr>
            </w:pPr>
            <w:r w:rsidRPr="00044B89">
              <w:rPr>
                <w:bCs/>
              </w:rPr>
              <w:t>Mã số</w:t>
            </w:r>
          </w:p>
        </w:tc>
        <w:tc>
          <w:tcPr>
            <w:tcW w:w="340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Cs/>
              </w:rPr>
            </w:pPr>
            <w:r w:rsidRPr="00044B89">
              <w:rPr>
                <w:bCs/>
              </w:rPr>
              <w:t>Tỷ lệ nợ xấu (%)</w:t>
            </w:r>
          </w:p>
        </w:tc>
      </w:tr>
      <w:tr w:rsidR="00044B89" w:rsidRPr="00044B89" w:rsidTr="00244A8F">
        <w:trPr>
          <w:trHeight w:val="170"/>
          <w:tblHeader/>
        </w:trPr>
        <w:tc>
          <w:tcPr>
            <w:tcW w:w="552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A</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B</w:t>
            </w:r>
          </w:p>
        </w:tc>
        <w:tc>
          <w:tcPr>
            <w:tcW w:w="340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1</w:t>
            </w:r>
          </w:p>
        </w:tc>
      </w:tr>
      <w:tr w:rsidR="00044B89" w:rsidRPr="00044B89" w:rsidTr="00244A8F">
        <w:trPr>
          <w:trHeight w:val="170"/>
        </w:trPr>
        <w:tc>
          <w:tcPr>
            <w:tcW w:w="5529" w:type="dxa"/>
            <w:tcBorders>
              <w:top w:val="single" w:sz="4" w:space="0" w:color="auto"/>
              <w:left w:val="single" w:sz="4" w:space="0" w:color="auto"/>
              <w:bottom w:val="dotted" w:sz="4" w:space="0" w:color="auto"/>
              <w:right w:val="single" w:sz="4" w:space="0" w:color="auto"/>
            </w:tcBorders>
            <w:shd w:val="clear" w:color="000000" w:fill="FFFFFF"/>
            <w:tcMar>
              <w:left w:w="57" w:type="dxa"/>
              <w:right w:w="57" w:type="dxa"/>
            </w:tcMar>
            <w:vAlign w:val="bottom"/>
            <w:hideMark/>
          </w:tcPr>
          <w:p w:rsidR="00C57145" w:rsidRPr="00044B89" w:rsidRDefault="00C57145" w:rsidP="00B05C2E">
            <w:pPr>
              <w:spacing w:before="120" w:after="120"/>
              <w:ind w:left="266" w:hanging="266"/>
              <w:jc w:val="both"/>
              <w:rPr>
                <w:b/>
                <w:bCs/>
                <w:sz w:val="26"/>
                <w:szCs w:val="26"/>
              </w:rPr>
            </w:pPr>
            <w:r w:rsidRPr="00044B89">
              <w:rPr>
                <w:b/>
                <w:bCs/>
                <w:i/>
                <w:iCs/>
                <w:sz w:val="26"/>
                <w:szCs w:val="26"/>
              </w:rPr>
              <w:t xml:space="preserve">1. Bằng đồng Việt Nam </w:t>
            </w:r>
          </w:p>
        </w:tc>
        <w:tc>
          <w:tcPr>
            <w:tcW w:w="850"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Cs/>
              </w:rPr>
            </w:pPr>
            <w:r w:rsidRPr="00044B89">
              <w:rPr>
                <w:bCs/>
              </w:rPr>
              <w:t>01</w:t>
            </w:r>
          </w:p>
        </w:tc>
        <w:tc>
          <w:tcPr>
            <w:tcW w:w="3402"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
                <w:bCs/>
              </w:rPr>
            </w:pPr>
            <w:r w:rsidRPr="00044B89">
              <w:rPr>
                <w:b/>
                <w:bCs/>
              </w:rPr>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b/>
                <w:bCs/>
                <w:sz w:val="26"/>
                <w:szCs w:val="26"/>
              </w:rPr>
            </w:pPr>
            <w:r w:rsidRPr="00044B89">
              <w:rPr>
                <w:sz w:val="26"/>
                <w:szCs w:val="26"/>
              </w:rPr>
              <w:t xml:space="preserve"> + Ngắn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Cs/>
              </w:rPr>
            </w:pPr>
            <w:r w:rsidRPr="00044B89">
              <w:rPr>
                <w:bCs/>
              </w:rPr>
              <w:t>02</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b/>
                <w:bCs/>
                <w:i/>
                <w:iCs/>
                <w:sz w:val="26"/>
                <w:szCs w:val="26"/>
              </w:rPr>
            </w:pPr>
            <w:r w:rsidRPr="00044B89">
              <w:rPr>
                <w:sz w:val="26"/>
                <w:szCs w:val="26"/>
              </w:rPr>
              <w:t xml:space="preserve"> + Trung và dài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03</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
                <w:bCs/>
              </w:rPr>
            </w:pPr>
            <w:r w:rsidRPr="00044B89">
              <w:rPr>
                <w:b/>
                <w:bCs/>
              </w:rPr>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sz w:val="26"/>
                <w:szCs w:val="26"/>
              </w:rPr>
            </w:pPr>
            <w:r w:rsidRPr="00044B89">
              <w:rPr>
                <w:b/>
                <w:bCs/>
                <w:i/>
                <w:iCs/>
                <w:sz w:val="26"/>
                <w:szCs w:val="26"/>
              </w:rPr>
              <w:t xml:space="preserve">2. Bằng ngoại tệ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04</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sz w:val="26"/>
                <w:szCs w:val="26"/>
              </w:rPr>
            </w:pPr>
            <w:r w:rsidRPr="00044B89">
              <w:rPr>
                <w:sz w:val="26"/>
                <w:szCs w:val="26"/>
              </w:rPr>
              <w:t xml:space="preserve"> + Ngắn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05</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b/>
                <w:bCs/>
                <w:i/>
                <w:iCs/>
                <w:sz w:val="26"/>
                <w:szCs w:val="26"/>
              </w:rPr>
            </w:pPr>
            <w:r w:rsidRPr="00044B89">
              <w:rPr>
                <w:sz w:val="26"/>
                <w:szCs w:val="26"/>
              </w:rPr>
              <w:t xml:space="preserve"> + Trung và dài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06</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sz w:val="26"/>
                <w:szCs w:val="26"/>
              </w:rPr>
            </w:pPr>
            <w:r w:rsidRPr="00044B89">
              <w:rPr>
                <w:b/>
                <w:bCs/>
                <w:i/>
                <w:iCs/>
                <w:sz w:val="26"/>
                <w:szCs w:val="26"/>
              </w:rPr>
              <w:t>3. Tổng cộng</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07</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 </w:t>
            </w:r>
          </w:p>
        </w:tc>
      </w:tr>
      <w:tr w:rsidR="00044B89" w:rsidRPr="00044B89" w:rsidTr="00244A8F">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sz w:val="26"/>
                <w:szCs w:val="26"/>
              </w:rPr>
            </w:pPr>
            <w:r w:rsidRPr="00044B89">
              <w:rPr>
                <w:sz w:val="26"/>
                <w:szCs w:val="26"/>
              </w:rPr>
              <w:t xml:space="preserve"> + Ngắn hạn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08</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
                <w:bCs/>
              </w:rPr>
            </w:pPr>
            <w:r w:rsidRPr="00044B89">
              <w:rPr>
                <w:b/>
                <w:bCs/>
              </w:rPr>
              <w:t> </w:t>
            </w:r>
          </w:p>
        </w:tc>
      </w:tr>
      <w:tr w:rsidR="00CE2323" w:rsidRPr="00044B89" w:rsidTr="00244A8F">
        <w:trPr>
          <w:trHeight w:val="170"/>
        </w:trPr>
        <w:tc>
          <w:tcPr>
            <w:tcW w:w="5529"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C57145" w:rsidRPr="00044B89" w:rsidRDefault="00C57145" w:rsidP="00B05C2E">
            <w:pPr>
              <w:spacing w:before="120" w:after="120"/>
              <w:rPr>
                <w:b/>
                <w:bCs/>
                <w:i/>
                <w:iCs/>
                <w:sz w:val="26"/>
                <w:szCs w:val="26"/>
              </w:rPr>
            </w:pPr>
            <w:r w:rsidRPr="00044B89">
              <w:rPr>
                <w:sz w:val="26"/>
                <w:szCs w:val="26"/>
              </w:rPr>
              <w:t xml:space="preserve"> + Trung và dài hạn </w:t>
            </w:r>
          </w:p>
        </w:tc>
        <w:tc>
          <w:tcPr>
            <w:tcW w:w="850"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pPr>
            <w:r w:rsidRPr="00044B89">
              <w:t>09</w:t>
            </w:r>
          </w:p>
        </w:tc>
        <w:tc>
          <w:tcPr>
            <w:tcW w:w="3402"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57145" w:rsidRPr="00044B89" w:rsidRDefault="00C57145" w:rsidP="00B05C2E">
            <w:pPr>
              <w:spacing w:before="120" w:after="120"/>
              <w:jc w:val="center"/>
              <w:rPr>
                <w:b/>
                <w:bCs/>
              </w:rPr>
            </w:pPr>
            <w:r w:rsidRPr="00044B89">
              <w:rPr>
                <w:b/>
                <w:bCs/>
              </w:rPr>
              <w:t> </w:t>
            </w:r>
          </w:p>
        </w:tc>
      </w:tr>
    </w:tbl>
    <w:p w:rsidR="00CE2323" w:rsidRPr="00044B89" w:rsidRDefault="00CE2323" w:rsidP="00CE2323">
      <w:pPr>
        <w:tabs>
          <w:tab w:val="left" w:pos="1890"/>
        </w:tabs>
        <w:rPr>
          <w:sz w:val="28"/>
          <w:szCs w:val="28"/>
          <w:lang w:val="nl-NL"/>
        </w:rPr>
      </w:pPr>
    </w:p>
    <w:tbl>
      <w:tblPr>
        <w:tblW w:w="9781" w:type="dxa"/>
        <w:tblInd w:w="108" w:type="dxa"/>
        <w:tblLayout w:type="fixed"/>
        <w:tblLook w:val="04A0" w:firstRow="1" w:lastRow="0" w:firstColumn="1" w:lastColumn="0" w:noHBand="0" w:noVBand="1"/>
      </w:tblPr>
      <w:tblGrid>
        <w:gridCol w:w="2977"/>
        <w:gridCol w:w="3402"/>
        <w:gridCol w:w="3402"/>
      </w:tblGrid>
      <w:tr w:rsidR="00CE2323" w:rsidRPr="00044B89" w:rsidTr="001D3EB1">
        <w:tc>
          <w:tcPr>
            <w:tcW w:w="2977" w:type="dxa"/>
          </w:tcPr>
          <w:p w:rsidR="00CE2323" w:rsidRPr="00044B89" w:rsidRDefault="00CE2323" w:rsidP="00B05C2E">
            <w:pPr>
              <w:spacing w:before="80"/>
              <w:jc w:val="center"/>
              <w:rPr>
                <w:b/>
              </w:rPr>
            </w:pPr>
          </w:p>
          <w:p w:rsidR="00CE2323" w:rsidRPr="00044B89" w:rsidRDefault="00CE2323" w:rsidP="00B05C2E">
            <w:pPr>
              <w:spacing w:before="80"/>
              <w:jc w:val="center"/>
              <w:rPr>
                <w:b/>
              </w:rPr>
            </w:pPr>
            <w:r w:rsidRPr="00044B89">
              <w:rPr>
                <w:b/>
              </w:rPr>
              <w:t>Người lập biểu</w:t>
            </w:r>
          </w:p>
          <w:p w:rsidR="00CE2323" w:rsidRPr="00044B89" w:rsidRDefault="00CE2323" w:rsidP="00B05C2E">
            <w:pPr>
              <w:spacing w:before="80"/>
              <w:jc w:val="center"/>
              <w:rPr>
                <w:b/>
                <w:i/>
              </w:rPr>
            </w:pPr>
            <w:r w:rsidRPr="00044B89">
              <w:rPr>
                <w:i/>
              </w:rPr>
              <w:t>(Ký, họ tên)</w:t>
            </w:r>
          </w:p>
        </w:tc>
        <w:tc>
          <w:tcPr>
            <w:tcW w:w="3402" w:type="dxa"/>
          </w:tcPr>
          <w:p w:rsidR="00CE2323" w:rsidRPr="00044B89" w:rsidRDefault="00CE2323" w:rsidP="00B05C2E">
            <w:pPr>
              <w:spacing w:before="80"/>
              <w:jc w:val="center"/>
              <w:rPr>
                <w:b/>
              </w:rPr>
            </w:pPr>
          </w:p>
          <w:p w:rsidR="00CE2323" w:rsidRPr="00044B89" w:rsidRDefault="00CE2323" w:rsidP="00B05C2E">
            <w:pPr>
              <w:spacing w:before="80"/>
              <w:jc w:val="center"/>
              <w:rPr>
                <w:b/>
              </w:rPr>
            </w:pPr>
            <w:r w:rsidRPr="00044B89">
              <w:rPr>
                <w:b/>
              </w:rPr>
              <w:t>Người kiểm tra biểu</w:t>
            </w:r>
          </w:p>
          <w:p w:rsidR="00CE2323" w:rsidRPr="00044B89" w:rsidRDefault="00CE2323" w:rsidP="00B05C2E">
            <w:pPr>
              <w:spacing w:before="80"/>
              <w:jc w:val="center"/>
            </w:pPr>
            <w:r w:rsidRPr="00044B89">
              <w:rPr>
                <w:i/>
              </w:rPr>
              <w:t>(Ký, họ tên)</w:t>
            </w:r>
          </w:p>
        </w:tc>
        <w:tc>
          <w:tcPr>
            <w:tcW w:w="3402" w:type="dxa"/>
            <w:vAlign w:val="center"/>
          </w:tcPr>
          <w:p w:rsidR="00CE2323" w:rsidRPr="00044B89" w:rsidRDefault="00CE2323" w:rsidP="00B05C2E">
            <w:pPr>
              <w:spacing w:before="80"/>
              <w:jc w:val="center"/>
              <w:rPr>
                <w:i/>
              </w:rPr>
            </w:pPr>
            <w:r w:rsidRPr="00044B89">
              <w:rPr>
                <w:i/>
              </w:rPr>
              <w:t>Ngày … tháng … năm …</w:t>
            </w:r>
          </w:p>
          <w:p w:rsidR="00CE2323" w:rsidRPr="00044B89" w:rsidRDefault="00CE2323" w:rsidP="00B05C2E">
            <w:pPr>
              <w:spacing w:before="80"/>
              <w:jc w:val="center"/>
              <w:rPr>
                <w:b/>
              </w:rPr>
            </w:pPr>
            <w:r w:rsidRPr="00044B89">
              <w:rPr>
                <w:b/>
              </w:rPr>
              <w:t>Thủ trưởng đơn vị</w:t>
            </w:r>
          </w:p>
          <w:p w:rsidR="00CE2323" w:rsidRPr="00044B89" w:rsidRDefault="00CE2323" w:rsidP="00B05C2E">
            <w:pPr>
              <w:spacing w:before="80"/>
              <w:jc w:val="center"/>
              <w:rPr>
                <w:i/>
              </w:rPr>
            </w:pPr>
            <w:r w:rsidRPr="00044B89">
              <w:rPr>
                <w:i/>
              </w:rPr>
              <w:t>(Ký, đóng dấu, họ tên)</w:t>
            </w:r>
          </w:p>
        </w:tc>
      </w:tr>
    </w:tbl>
    <w:p w:rsidR="00FD0A99" w:rsidRPr="00044B89" w:rsidRDefault="00FD0A99"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1D3EB1" w:rsidRPr="00044B89" w:rsidRDefault="001D3EB1" w:rsidP="00244A8F">
      <w:pPr>
        <w:tabs>
          <w:tab w:val="left" w:pos="1890"/>
        </w:tabs>
        <w:rPr>
          <w:sz w:val="28"/>
          <w:szCs w:val="28"/>
          <w:lang w:val="nl-NL"/>
        </w:rPr>
      </w:pPr>
    </w:p>
    <w:p w:rsidR="00DB5F12" w:rsidRPr="00044B89" w:rsidRDefault="00DB5F12" w:rsidP="00244A8F">
      <w:pPr>
        <w:tabs>
          <w:tab w:val="left" w:pos="1890"/>
        </w:tabs>
        <w:rPr>
          <w:sz w:val="28"/>
          <w:szCs w:val="28"/>
          <w:lang w:val="nl-NL"/>
        </w:rPr>
      </w:pPr>
    </w:p>
    <w:p w:rsidR="00CE79A6" w:rsidRPr="00044B89" w:rsidRDefault="003E5882" w:rsidP="00BA345B">
      <w:pPr>
        <w:spacing w:before="120" w:after="120" w:line="288" w:lineRule="auto"/>
        <w:ind w:firstLine="720"/>
        <w:jc w:val="both"/>
        <w:rPr>
          <w:b/>
          <w:sz w:val="28"/>
          <w:szCs w:val="28"/>
          <w:lang w:val="pt-BR"/>
        </w:rPr>
      </w:pPr>
      <w:bookmarkStart w:id="0" w:name="_GoBack"/>
      <w:bookmarkEnd w:id="0"/>
      <w:r w:rsidRPr="00044B89">
        <w:rPr>
          <w:b/>
          <w:sz w:val="28"/>
          <w:szCs w:val="28"/>
        </w:rPr>
        <w:lastRenderedPageBreak/>
        <w:t>BIỂU SỐ 002.H/T0703-NHNN</w:t>
      </w:r>
      <w:r w:rsidR="00CE79A6" w:rsidRPr="00044B89">
        <w:rPr>
          <w:b/>
          <w:sz w:val="28"/>
          <w:szCs w:val="28"/>
        </w:rPr>
        <w:t xml:space="preserve">: </w:t>
      </w:r>
      <w:r w:rsidR="00BA345B" w:rsidRPr="00044B89">
        <w:rPr>
          <w:b/>
          <w:sz w:val="28"/>
          <w:szCs w:val="28"/>
        </w:rPr>
        <w:t>TỶ</w:t>
      </w:r>
      <w:r w:rsidR="00CE79A6" w:rsidRPr="00044B89">
        <w:rPr>
          <w:b/>
          <w:sz w:val="28"/>
          <w:szCs w:val="28"/>
        </w:rPr>
        <w:t xml:space="preserve"> LỆ NỢ XẤU TRÊN TỔNG NỢ</w:t>
      </w:r>
    </w:p>
    <w:p w:rsidR="00CE79A6" w:rsidRPr="00044B89" w:rsidRDefault="00CE79A6" w:rsidP="00BA345B">
      <w:pPr>
        <w:tabs>
          <w:tab w:val="left" w:pos="720"/>
          <w:tab w:val="left" w:pos="9540"/>
        </w:tabs>
        <w:spacing w:before="120" w:after="120" w:line="288" w:lineRule="auto"/>
        <w:ind w:firstLine="720"/>
        <w:jc w:val="both"/>
        <w:rPr>
          <w:b/>
          <w:sz w:val="28"/>
          <w:szCs w:val="28"/>
        </w:rPr>
      </w:pPr>
      <w:r w:rsidRPr="00044B89">
        <w:rPr>
          <w:b/>
          <w:sz w:val="28"/>
          <w:szCs w:val="28"/>
        </w:rPr>
        <w:t>1. Khái niệm và phương pháp tính</w:t>
      </w:r>
    </w:p>
    <w:p w:rsidR="00CE79A6" w:rsidRPr="00044B89" w:rsidRDefault="00CE79A6" w:rsidP="00BA345B">
      <w:pPr>
        <w:tabs>
          <w:tab w:val="left" w:pos="0"/>
          <w:tab w:val="left" w:pos="360"/>
          <w:tab w:val="left" w:pos="900"/>
        </w:tabs>
        <w:spacing w:before="120" w:after="120" w:line="288" w:lineRule="auto"/>
        <w:ind w:firstLine="720"/>
        <w:jc w:val="both"/>
        <w:rPr>
          <w:sz w:val="28"/>
          <w:szCs w:val="28"/>
        </w:rPr>
      </w:pPr>
      <w:r w:rsidRPr="00044B89">
        <w:rPr>
          <w:sz w:val="28"/>
          <w:szCs w:val="28"/>
        </w:rPr>
        <w:t>Nợ xấu được hiểu là nợ nhóm 3, 4, 5 theo quy định hiện hành về phân loại tài sản có (hoặc phân loại nợ), mức trích, phương pháp trích lập dự phòng rủi ro và việc sử dụng dự phòng để xử lý rủi ro trong hoạt động của tổ chức tín dụng, chi nhánh ngân hàng nước ngoài.</w:t>
      </w:r>
    </w:p>
    <w:p w:rsidR="00CE79A6" w:rsidRPr="00044B89" w:rsidRDefault="00CE79A6" w:rsidP="00BA345B">
      <w:pPr>
        <w:tabs>
          <w:tab w:val="left" w:pos="0"/>
          <w:tab w:val="left" w:pos="360"/>
          <w:tab w:val="left" w:pos="900"/>
        </w:tabs>
        <w:spacing w:before="120" w:after="120" w:line="288" w:lineRule="auto"/>
        <w:ind w:firstLine="720"/>
        <w:jc w:val="both"/>
        <w:rPr>
          <w:sz w:val="28"/>
          <w:szCs w:val="28"/>
          <w:shd w:val="clear" w:color="auto" w:fill="FFFFFF"/>
        </w:rPr>
      </w:pPr>
      <w:r w:rsidRPr="00044B89">
        <w:rPr>
          <w:sz w:val="28"/>
          <w:szCs w:val="28"/>
          <w:shd w:val="clear" w:color="auto" w:fill="FFFFFF"/>
        </w:rPr>
        <w:t>Tỷ lệ nợ xấu trên tổng nợ là tỷ lệ được sử dụng để đánh giá chất lượng tín dụng của tổ chức tín dụng.</w:t>
      </w:r>
    </w:p>
    <w:tbl>
      <w:tblPr>
        <w:tblW w:w="0" w:type="auto"/>
        <w:tblInd w:w="1384" w:type="dxa"/>
        <w:tblLook w:val="04A0" w:firstRow="1" w:lastRow="0" w:firstColumn="1" w:lastColumn="0" w:noHBand="0" w:noVBand="1"/>
      </w:tblPr>
      <w:tblGrid>
        <w:gridCol w:w="2126"/>
        <w:gridCol w:w="765"/>
        <w:gridCol w:w="2694"/>
        <w:gridCol w:w="1206"/>
      </w:tblGrid>
      <w:tr w:rsidR="00044B89" w:rsidRPr="00044B89" w:rsidTr="00B05C2E">
        <w:tc>
          <w:tcPr>
            <w:tcW w:w="2126" w:type="dxa"/>
            <w:vMerge w:val="restart"/>
            <w:shd w:val="clear" w:color="auto" w:fill="auto"/>
            <w:vAlign w:val="center"/>
          </w:tcPr>
          <w:p w:rsidR="00CE79A6" w:rsidRPr="00044B89" w:rsidRDefault="00CE79A6" w:rsidP="00B05C2E">
            <w:pPr>
              <w:tabs>
                <w:tab w:val="left" w:pos="0"/>
                <w:tab w:val="left" w:pos="360"/>
                <w:tab w:val="left" w:pos="900"/>
              </w:tabs>
              <w:spacing w:after="240"/>
              <w:jc w:val="center"/>
              <w:rPr>
                <w:rFonts w:eastAsia="Calibri"/>
                <w:sz w:val="28"/>
                <w:szCs w:val="28"/>
              </w:rPr>
            </w:pPr>
            <w:r w:rsidRPr="00044B89">
              <w:rPr>
                <w:rFonts w:eastAsia="Calibri"/>
                <w:sz w:val="28"/>
                <w:szCs w:val="28"/>
                <w:lang w:val="nl-NL"/>
              </w:rPr>
              <w:t>Tỷ lệ nợ xấu trên tổng nợ (%)</w:t>
            </w:r>
          </w:p>
        </w:tc>
        <w:tc>
          <w:tcPr>
            <w:tcW w:w="765" w:type="dxa"/>
            <w:vMerge w:val="restart"/>
            <w:shd w:val="clear" w:color="auto" w:fill="auto"/>
            <w:vAlign w:val="center"/>
          </w:tcPr>
          <w:p w:rsidR="00CE79A6" w:rsidRPr="00044B89" w:rsidRDefault="00CE79A6" w:rsidP="00B05C2E">
            <w:pPr>
              <w:tabs>
                <w:tab w:val="left" w:pos="0"/>
                <w:tab w:val="left" w:pos="360"/>
                <w:tab w:val="left" w:pos="900"/>
              </w:tabs>
              <w:spacing w:before="120" w:line="264" w:lineRule="auto"/>
              <w:ind w:firstLine="33"/>
              <w:jc w:val="center"/>
              <w:rPr>
                <w:rFonts w:eastAsia="Calibri"/>
                <w:sz w:val="28"/>
                <w:szCs w:val="28"/>
              </w:rPr>
            </w:pPr>
            <w:r w:rsidRPr="00044B89">
              <w:rPr>
                <w:rFonts w:eastAsia="Calibri"/>
                <w:sz w:val="28"/>
                <w:szCs w:val="28"/>
              </w:rPr>
              <w:t>=</w:t>
            </w:r>
          </w:p>
          <w:p w:rsidR="00CE79A6" w:rsidRPr="00044B89" w:rsidRDefault="00CE79A6" w:rsidP="00B05C2E">
            <w:pPr>
              <w:tabs>
                <w:tab w:val="left" w:pos="0"/>
                <w:tab w:val="left" w:pos="360"/>
                <w:tab w:val="left" w:pos="900"/>
              </w:tabs>
              <w:spacing w:before="120" w:line="264" w:lineRule="auto"/>
              <w:ind w:firstLine="33"/>
              <w:jc w:val="center"/>
              <w:rPr>
                <w:rFonts w:eastAsia="Calibri"/>
                <w:sz w:val="28"/>
                <w:szCs w:val="28"/>
              </w:rPr>
            </w:pPr>
          </w:p>
        </w:tc>
        <w:tc>
          <w:tcPr>
            <w:tcW w:w="2694" w:type="dxa"/>
            <w:tcBorders>
              <w:bottom w:val="single" w:sz="4" w:space="0" w:color="auto"/>
            </w:tcBorders>
            <w:shd w:val="clear" w:color="auto" w:fill="auto"/>
            <w:vAlign w:val="center"/>
          </w:tcPr>
          <w:p w:rsidR="00CE79A6" w:rsidRPr="00044B89" w:rsidRDefault="00CE79A6" w:rsidP="00B05C2E">
            <w:pPr>
              <w:tabs>
                <w:tab w:val="left" w:pos="0"/>
                <w:tab w:val="left" w:pos="360"/>
                <w:tab w:val="left" w:pos="900"/>
              </w:tabs>
              <w:spacing w:before="120" w:line="264" w:lineRule="auto"/>
              <w:ind w:firstLine="33"/>
              <w:jc w:val="center"/>
              <w:rPr>
                <w:rFonts w:eastAsia="Calibri"/>
                <w:sz w:val="28"/>
                <w:szCs w:val="28"/>
              </w:rPr>
            </w:pPr>
            <w:r w:rsidRPr="00044B89">
              <w:rPr>
                <w:rFonts w:eastAsia="Calibri"/>
                <w:sz w:val="28"/>
                <w:szCs w:val="28"/>
              </w:rPr>
              <w:t>Tổng nợ xấu</w:t>
            </w:r>
          </w:p>
        </w:tc>
        <w:tc>
          <w:tcPr>
            <w:tcW w:w="1206" w:type="dxa"/>
            <w:vMerge w:val="restart"/>
            <w:shd w:val="clear" w:color="auto" w:fill="auto"/>
            <w:vAlign w:val="center"/>
          </w:tcPr>
          <w:p w:rsidR="00CE79A6" w:rsidRPr="00044B89" w:rsidRDefault="00CE79A6" w:rsidP="00B05C2E">
            <w:pPr>
              <w:tabs>
                <w:tab w:val="left" w:pos="0"/>
                <w:tab w:val="left" w:pos="360"/>
                <w:tab w:val="left" w:pos="900"/>
              </w:tabs>
              <w:spacing w:before="120" w:line="264" w:lineRule="auto"/>
              <w:jc w:val="center"/>
              <w:rPr>
                <w:rFonts w:eastAsia="Calibri"/>
                <w:sz w:val="28"/>
                <w:szCs w:val="28"/>
              </w:rPr>
            </w:pPr>
            <w:r w:rsidRPr="00044B89">
              <w:rPr>
                <w:rFonts w:eastAsia="Calibri"/>
                <w:sz w:val="28"/>
                <w:szCs w:val="28"/>
              </w:rPr>
              <w:t>x 100</w:t>
            </w:r>
          </w:p>
          <w:p w:rsidR="00CE79A6" w:rsidRPr="00044B89" w:rsidRDefault="00CE79A6" w:rsidP="00B05C2E">
            <w:pPr>
              <w:tabs>
                <w:tab w:val="left" w:pos="0"/>
                <w:tab w:val="left" w:pos="360"/>
                <w:tab w:val="left" w:pos="900"/>
              </w:tabs>
              <w:spacing w:before="120" w:line="264" w:lineRule="auto"/>
              <w:jc w:val="center"/>
              <w:rPr>
                <w:rFonts w:eastAsia="Calibri"/>
                <w:sz w:val="28"/>
                <w:szCs w:val="28"/>
              </w:rPr>
            </w:pPr>
          </w:p>
        </w:tc>
      </w:tr>
      <w:tr w:rsidR="00044B89" w:rsidRPr="00044B89" w:rsidTr="00B05C2E">
        <w:tc>
          <w:tcPr>
            <w:tcW w:w="2126" w:type="dxa"/>
            <w:vMerge/>
            <w:shd w:val="clear" w:color="auto" w:fill="auto"/>
          </w:tcPr>
          <w:p w:rsidR="00CE79A6" w:rsidRPr="00044B89" w:rsidRDefault="00CE79A6" w:rsidP="00B05C2E">
            <w:pPr>
              <w:tabs>
                <w:tab w:val="left" w:pos="0"/>
                <w:tab w:val="left" w:pos="360"/>
                <w:tab w:val="left" w:pos="900"/>
              </w:tabs>
              <w:spacing w:before="120" w:line="264" w:lineRule="auto"/>
              <w:ind w:firstLine="33"/>
              <w:jc w:val="both"/>
              <w:rPr>
                <w:rFonts w:eastAsia="Calibri"/>
                <w:b/>
                <w:sz w:val="28"/>
                <w:szCs w:val="28"/>
              </w:rPr>
            </w:pPr>
          </w:p>
        </w:tc>
        <w:tc>
          <w:tcPr>
            <w:tcW w:w="765" w:type="dxa"/>
            <w:vMerge/>
            <w:shd w:val="clear" w:color="auto" w:fill="auto"/>
          </w:tcPr>
          <w:p w:rsidR="00CE79A6" w:rsidRPr="00044B89" w:rsidRDefault="00CE79A6" w:rsidP="00B05C2E">
            <w:pPr>
              <w:tabs>
                <w:tab w:val="left" w:pos="0"/>
                <w:tab w:val="left" w:pos="360"/>
                <w:tab w:val="left" w:pos="900"/>
              </w:tabs>
              <w:spacing w:before="120" w:line="264" w:lineRule="auto"/>
              <w:ind w:firstLine="33"/>
              <w:jc w:val="both"/>
              <w:rPr>
                <w:rFonts w:eastAsia="Calibri"/>
                <w:b/>
                <w:sz w:val="28"/>
                <w:szCs w:val="28"/>
              </w:rPr>
            </w:pPr>
          </w:p>
        </w:tc>
        <w:tc>
          <w:tcPr>
            <w:tcW w:w="2694" w:type="dxa"/>
            <w:tcBorders>
              <w:top w:val="single" w:sz="4" w:space="0" w:color="auto"/>
            </w:tcBorders>
            <w:shd w:val="clear" w:color="auto" w:fill="auto"/>
            <w:vAlign w:val="center"/>
          </w:tcPr>
          <w:p w:rsidR="00CE79A6" w:rsidRPr="00044B89" w:rsidRDefault="00CE79A6" w:rsidP="00B05C2E">
            <w:pPr>
              <w:tabs>
                <w:tab w:val="left" w:pos="0"/>
                <w:tab w:val="left" w:pos="360"/>
                <w:tab w:val="left" w:pos="900"/>
              </w:tabs>
              <w:spacing w:before="120" w:line="264" w:lineRule="auto"/>
              <w:ind w:firstLine="33"/>
              <w:jc w:val="center"/>
              <w:rPr>
                <w:rFonts w:eastAsia="Calibri"/>
                <w:sz w:val="28"/>
                <w:szCs w:val="28"/>
                <w:lang w:val="nl-NL"/>
              </w:rPr>
            </w:pPr>
            <w:r w:rsidRPr="00044B89">
              <w:rPr>
                <w:rFonts w:eastAsia="Calibri"/>
                <w:sz w:val="28"/>
                <w:szCs w:val="28"/>
                <w:lang w:val="nl-NL"/>
              </w:rPr>
              <w:t xml:space="preserve">Tổng  nợ </w:t>
            </w:r>
          </w:p>
          <w:p w:rsidR="00CE79A6" w:rsidRPr="00044B89" w:rsidRDefault="00CE79A6" w:rsidP="00B05C2E">
            <w:pPr>
              <w:tabs>
                <w:tab w:val="left" w:pos="0"/>
                <w:tab w:val="left" w:pos="360"/>
                <w:tab w:val="left" w:pos="900"/>
              </w:tabs>
              <w:spacing w:before="120" w:line="264" w:lineRule="auto"/>
              <w:ind w:firstLine="33"/>
              <w:jc w:val="center"/>
              <w:rPr>
                <w:rFonts w:eastAsia="Calibri"/>
                <w:sz w:val="28"/>
                <w:szCs w:val="28"/>
              </w:rPr>
            </w:pPr>
          </w:p>
        </w:tc>
        <w:tc>
          <w:tcPr>
            <w:tcW w:w="1206" w:type="dxa"/>
            <w:vMerge/>
            <w:shd w:val="clear" w:color="auto" w:fill="auto"/>
          </w:tcPr>
          <w:p w:rsidR="00CE79A6" w:rsidRPr="00044B89" w:rsidRDefault="00CE79A6" w:rsidP="00B05C2E">
            <w:pPr>
              <w:tabs>
                <w:tab w:val="left" w:pos="0"/>
                <w:tab w:val="left" w:pos="360"/>
                <w:tab w:val="left" w:pos="900"/>
              </w:tabs>
              <w:spacing w:before="120" w:line="264" w:lineRule="auto"/>
              <w:ind w:firstLine="33"/>
              <w:jc w:val="both"/>
              <w:rPr>
                <w:rFonts w:eastAsia="Calibri"/>
                <w:b/>
                <w:sz w:val="28"/>
                <w:szCs w:val="28"/>
              </w:rPr>
            </w:pPr>
          </w:p>
        </w:tc>
      </w:tr>
    </w:tbl>
    <w:p w:rsidR="00CE79A6" w:rsidRPr="00044B89" w:rsidRDefault="00CE79A6" w:rsidP="00BA345B">
      <w:pPr>
        <w:tabs>
          <w:tab w:val="left" w:pos="720"/>
          <w:tab w:val="left" w:pos="9540"/>
        </w:tabs>
        <w:spacing w:before="120" w:after="120" w:line="288" w:lineRule="auto"/>
        <w:ind w:firstLine="720"/>
        <w:jc w:val="both"/>
        <w:rPr>
          <w:b/>
          <w:sz w:val="28"/>
          <w:szCs w:val="28"/>
        </w:rPr>
      </w:pPr>
      <w:r w:rsidRPr="00044B89">
        <w:rPr>
          <w:b/>
          <w:sz w:val="28"/>
          <w:szCs w:val="28"/>
        </w:rPr>
        <w:t>2. Cách ghi biểu</w:t>
      </w:r>
    </w:p>
    <w:p w:rsidR="00CE79A6" w:rsidRPr="00044B89" w:rsidRDefault="00CE79A6" w:rsidP="00BA345B">
      <w:pPr>
        <w:widowControl w:val="0"/>
        <w:spacing w:before="120" w:after="120" w:line="288" w:lineRule="auto"/>
        <w:ind w:firstLine="720"/>
        <w:jc w:val="both"/>
        <w:rPr>
          <w:sz w:val="28"/>
          <w:szCs w:val="28"/>
        </w:rPr>
      </w:pPr>
      <w:r w:rsidRPr="00044B89">
        <w:rPr>
          <w:sz w:val="28"/>
          <w:szCs w:val="28"/>
        </w:rPr>
        <w:t>- Cột 1: Ghi tỉ lệ nợ xấu trên tổng nợ của kỳ báo cáo của các tổ chức tín dụng, chi nhánh ngân hàng nước ngoài tương ứng với các nội dung ở cột A.</w:t>
      </w:r>
    </w:p>
    <w:p w:rsidR="00CE79A6" w:rsidRPr="00044B89" w:rsidRDefault="00CE79A6" w:rsidP="00BA345B">
      <w:pPr>
        <w:spacing w:before="120" w:after="120" w:line="288" w:lineRule="auto"/>
        <w:ind w:firstLine="720"/>
        <w:rPr>
          <w:sz w:val="28"/>
          <w:szCs w:val="28"/>
        </w:rPr>
      </w:pPr>
      <w:r w:rsidRPr="00044B89">
        <w:rPr>
          <w:sz w:val="28"/>
          <w:szCs w:val="28"/>
        </w:rPr>
        <w:t>- Ngày báo cáo: 30 ngày kể từ ngày kết thúc kỳ báo cáo.</w:t>
      </w:r>
    </w:p>
    <w:p w:rsidR="00CE79A6" w:rsidRPr="00044B89" w:rsidRDefault="00CE79A6" w:rsidP="00BA345B">
      <w:pPr>
        <w:spacing w:before="120" w:after="120" w:line="288" w:lineRule="auto"/>
        <w:ind w:firstLine="720"/>
        <w:jc w:val="both"/>
        <w:rPr>
          <w:sz w:val="28"/>
          <w:szCs w:val="28"/>
          <w:lang w:val="pt-BR"/>
        </w:rPr>
      </w:pPr>
      <w:r w:rsidRPr="00044B89">
        <w:rPr>
          <w:b/>
          <w:sz w:val="28"/>
          <w:szCs w:val="28"/>
          <w:lang w:val="pt-BR"/>
        </w:rPr>
        <w:t>3. Phạm vi và thời kỳ thu thập số liệu</w:t>
      </w:r>
    </w:p>
    <w:p w:rsidR="00CE79A6" w:rsidRPr="00044B89" w:rsidRDefault="00CE79A6" w:rsidP="00BA345B">
      <w:pPr>
        <w:spacing w:before="120" w:after="120" w:line="288" w:lineRule="auto"/>
        <w:ind w:firstLine="720"/>
        <w:jc w:val="both"/>
        <w:rPr>
          <w:sz w:val="28"/>
          <w:szCs w:val="28"/>
          <w:lang w:val="pt-BR"/>
        </w:rPr>
      </w:pPr>
      <w:r w:rsidRPr="00044B89">
        <w:rPr>
          <w:sz w:val="28"/>
          <w:szCs w:val="28"/>
          <w:lang w:val="pt-BR"/>
        </w:rPr>
        <w:t>Phạm vi toàn tỉnh. Số liệu thu thập theo tháng/quý/năm báo cáo.</w:t>
      </w:r>
    </w:p>
    <w:p w:rsidR="00CE79A6" w:rsidRPr="00044B89" w:rsidRDefault="00CE79A6" w:rsidP="00BA345B">
      <w:pPr>
        <w:tabs>
          <w:tab w:val="left" w:pos="720"/>
          <w:tab w:val="left" w:pos="9540"/>
        </w:tabs>
        <w:spacing w:before="120" w:after="120" w:line="288" w:lineRule="auto"/>
        <w:ind w:firstLine="720"/>
        <w:jc w:val="both"/>
        <w:rPr>
          <w:b/>
          <w:sz w:val="28"/>
          <w:szCs w:val="28"/>
        </w:rPr>
      </w:pPr>
      <w:r w:rsidRPr="00044B89">
        <w:rPr>
          <w:b/>
          <w:sz w:val="28"/>
          <w:szCs w:val="28"/>
        </w:rPr>
        <w:t>4. Nguồn số liệu</w:t>
      </w:r>
    </w:p>
    <w:p w:rsidR="00CE79A6" w:rsidRPr="00044B89" w:rsidRDefault="00CE79A6" w:rsidP="00BA345B">
      <w:pPr>
        <w:tabs>
          <w:tab w:val="left" w:pos="720"/>
          <w:tab w:val="left" w:pos="9540"/>
        </w:tabs>
        <w:spacing w:before="120" w:after="120" w:line="288" w:lineRule="auto"/>
        <w:ind w:firstLine="720"/>
        <w:jc w:val="both"/>
        <w:rPr>
          <w:sz w:val="28"/>
          <w:szCs w:val="28"/>
        </w:rPr>
      </w:pPr>
      <w:r w:rsidRPr="00044B89">
        <w:rPr>
          <w:sz w:val="28"/>
          <w:szCs w:val="28"/>
        </w:rPr>
        <w:t>Ngân hàng Nhà nước chi nhánh tỉnh</w:t>
      </w:r>
      <w:r w:rsidR="003200BC" w:rsidRPr="00044B89">
        <w:rPr>
          <w:sz w:val="28"/>
          <w:szCs w:val="28"/>
        </w:rPr>
        <w:t xml:space="preserve"> Thanh Hóa</w:t>
      </w:r>
      <w:r w:rsidRPr="00044B89">
        <w:rPr>
          <w:sz w:val="28"/>
          <w:szCs w:val="28"/>
        </w:rPr>
        <w:t>.</w:t>
      </w:r>
    </w:p>
    <w:p w:rsidR="00CE79A6" w:rsidRPr="00044B89" w:rsidRDefault="00CE79A6" w:rsidP="00FD0A99">
      <w:pPr>
        <w:spacing w:before="120" w:after="120" w:line="288" w:lineRule="auto"/>
        <w:ind w:firstLine="720"/>
        <w:jc w:val="both"/>
        <w:rPr>
          <w:b/>
          <w:spacing w:val="-14"/>
          <w:sz w:val="28"/>
          <w:szCs w:val="28"/>
        </w:rPr>
      </w:pPr>
    </w:p>
    <w:p w:rsidR="00CE79A6" w:rsidRPr="00044B89" w:rsidRDefault="00CE79A6" w:rsidP="00FD0A99">
      <w:pPr>
        <w:spacing w:before="120" w:after="120" w:line="288" w:lineRule="auto"/>
        <w:ind w:firstLine="720"/>
        <w:jc w:val="both"/>
        <w:rPr>
          <w:b/>
          <w:spacing w:val="-14"/>
          <w:sz w:val="28"/>
          <w:szCs w:val="28"/>
        </w:rPr>
      </w:pPr>
    </w:p>
    <w:p w:rsidR="00CE79A6" w:rsidRPr="00044B89" w:rsidRDefault="00CE79A6" w:rsidP="00FD0A99">
      <w:pPr>
        <w:spacing w:before="120" w:after="120" w:line="288" w:lineRule="auto"/>
        <w:ind w:firstLine="720"/>
        <w:jc w:val="both"/>
        <w:rPr>
          <w:b/>
          <w:spacing w:val="-14"/>
          <w:sz w:val="28"/>
          <w:szCs w:val="28"/>
        </w:rPr>
      </w:pPr>
    </w:p>
    <w:sectPr w:rsidR="00CE79A6" w:rsidRPr="00044B89" w:rsidSect="00C310D9">
      <w:footerReference w:type="default" r:id="rId10"/>
      <w:pgSz w:w="11907" w:h="16840" w:code="9"/>
      <w:pgMar w:top="964" w:right="964" w:bottom="964" w:left="1418"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E2" w:rsidRDefault="00AF46E2">
      <w:r>
        <w:separator/>
      </w:r>
    </w:p>
  </w:endnote>
  <w:endnote w:type="continuationSeparator" w:id="0">
    <w:p w:rsidR="00AF46E2" w:rsidRDefault="00A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EB" w:rsidRDefault="001F7AEB">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EB" w:rsidRDefault="001F7AEB">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E2" w:rsidRDefault="00AF46E2">
      <w:r>
        <w:separator/>
      </w:r>
    </w:p>
  </w:footnote>
  <w:footnote w:type="continuationSeparator" w:id="0">
    <w:p w:rsidR="00AF46E2" w:rsidRDefault="00A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9" w:rsidRPr="00C310D9" w:rsidRDefault="00C310D9">
    <w:pPr>
      <w:pStyle w:val="Header"/>
      <w:jc w:val="center"/>
      <w:rPr>
        <w:sz w:val="26"/>
      </w:rPr>
    </w:pPr>
    <w:r w:rsidRPr="00C310D9">
      <w:rPr>
        <w:sz w:val="26"/>
      </w:rPr>
      <w:fldChar w:fldCharType="begin"/>
    </w:r>
    <w:r w:rsidRPr="00C310D9">
      <w:rPr>
        <w:sz w:val="26"/>
      </w:rPr>
      <w:instrText xml:space="preserve"> PAGE   \* MERGEFORMAT </w:instrText>
    </w:r>
    <w:r w:rsidRPr="00C310D9">
      <w:rPr>
        <w:sz w:val="26"/>
      </w:rPr>
      <w:fldChar w:fldCharType="separate"/>
    </w:r>
    <w:r w:rsidR="00086F74">
      <w:rPr>
        <w:noProof/>
        <w:sz w:val="26"/>
      </w:rPr>
      <w:t>9</w:t>
    </w:r>
    <w:r w:rsidRPr="00C310D9">
      <w:rPr>
        <w:noProof/>
        <w:sz w:val="26"/>
      </w:rPr>
      <w:fldChar w:fldCharType="end"/>
    </w:r>
  </w:p>
  <w:p w:rsidR="00C310D9" w:rsidRDefault="00C3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11"/>
  </w:num>
  <w:num w:numId="6">
    <w:abstractNumId w:val="9"/>
  </w:num>
  <w:num w:numId="7">
    <w:abstractNumId w:val="0"/>
  </w:num>
  <w:num w:numId="8">
    <w:abstractNumId w:val="12"/>
  </w:num>
  <w:num w:numId="9">
    <w:abstractNumId w:val="6"/>
  </w:num>
  <w:num w:numId="10">
    <w:abstractNumId w:val="10"/>
  </w:num>
  <w:num w:numId="11">
    <w:abstractNumId w:val="5"/>
  </w:num>
  <w:num w:numId="12">
    <w:abstractNumId w:val="3"/>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16C51"/>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4B89"/>
    <w:rsid w:val="00045126"/>
    <w:rsid w:val="0005012E"/>
    <w:rsid w:val="0005040C"/>
    <w:rsid w:val="00051BA8"/>
    <w:rsid w:val="00051C15"/>
    <w:rsid w:val="0005235A"/>
    <w:rsid w:val="00056058"/>
    <w:rsid w:val="00056433"/>
    <w:rsid w:val="0005739B"/>
    <w:rsid w:val="0005792F"/>
    <w:rsid w:val="0006177A"/>
    <w:rsid w:val="00061E13"/>
    <w:rsid w:val="00066270"/>
    <w:rsid w:val="00066500"/>
    <w:rsid w:val="000678B2"/>
    <w:rsid w:val="00072899"/>
    <w:rsid w:val="00072BD6"/>
    <w:rsid w:val="000739CD"/>
    <w:rsid w:val="00075BC3"/>
    <w:rsid w:val="0007625A"/>
    <w:rsid w:val="00076E8C"/>
    <w:rsid w:val="0008137B"/>
    <w:rsid w:val="00083078"/>
    <w:rsid w:val="000831B4"/>
    <w:rsid w:val="0008367C"/>
    <w:rsid w:val="00083F9A"/>
    <w:rsid w:val="00084D19"/>
    <w:rsid w:val="000859B8"/>
    <w:rsid w:val="00086F74"/>
    <w:rsid w:val="00087666"/>
    <w:rsid w:val="00092119"/>
    <w:rsid w:val="000956ED"/>
    <w:rsid w:val="00095A60"/>
    <w:rsid w:val="00095D75"/>
    <w:rsid w:val="00096B80"/>
    <w:rsid w:val="00096C52"/>
    <w:rsid w:val="000975D4"/>
    <w:rsid w:val="0009771D"/>
    <w:rsid w:val="00097E77"/>
    <w:rsid w:val="000A0A51"/>
    <w:rsid w:val="000A4749"/>
    <w:rsid w:val="000A5C64"/>
    <w:rsid w:val="000A796F"/>
    <w:rsid w:val="000B0A2D"/>
    <w:rsid w:val="000B20F3"/>
    <w:rsid w:val="000B3C6B"/>
    <w:rsid w:val="000B4660"/>
    <w:rsid w:val="000B51B4"/>
    <w:rsid w:val="000B51C9"/>
    <w:rsid w:val="000B52C1"/>
    <w:rsid w:val="000B6C2C"/>
    <w:rsid w:val="000B79E1"/>
    <w:rsid w:val="000C003B"/>
    <w:rsid w:val="000C0230"/>
    <w:rsid w:val="000C1526"/>
    <w:rsid w:val="000C1B98"/>
    <w:rsid w:val="000C5988"/>
    <w:rsid w:val="000C7452"/>
    <w:rsid w:val="000C7513"/>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087D"/>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5193"/>
    <w:rsid w:val="00136ECE"/>
    <w:rsid w:val="00137AF5"/>
    <w:rsid w:val="00137C52"/>
    <w:rsid w:val="00141ED6"/>
    <w:rsid w:val="00141F8B"/>
    <w:rsid w:val="00143B2C"/>
    <w:rsid w:val="00144553"/>
    <w:rsid w:val="001459DD"/>
    <w:rsid w:val="00145D4E"/>
    <w:rsid w:val="001461E0"/>
    <w:rsid w:val="00147779"/>
    <w:rsid w:val="00147FAA"/>
    <w:rsid w:val="00147FCA"/>
    <w:rsid w:val="001508C0"/>
    <w:rsid w:val="00151AC9"/>
    <w:rsid w:val="00152162"/>
    <w:rsid w:val="001529E0"/>
    <w:rsid w:val="0015350D"/>
    <w:rsid w:val="00153BDD"/>
    <w:rsid w:val="00153D31"/>
    <w:rsid w:val="001541CF"/>
    <w:rsid w:val="001562E3"/>
    <w:rsid w:val="001578BB"/>
    <w:rsid w:val="001606B4"/>
    <w:rsid w:val="00160B46"/>
    <w:rsid w:val="001610A7"/>
    <w:rsid w:val="00161365"/>
    <w:rsid w:val="0016281E"/>
    <w:rsid w:val="001629DC"/>
    <w:rsid w:val="0016510B"/>
    <w:rsid w:val="00171A8C"/>
    <w:rsid w:val="00173639"/>
    <w:rsid w:val="001768B1"/>
    <w:rsid w:val="00177810"/>
    <w:rsid w:val="001802F7"/>
    <w:rsid w:val="001808C1"/>
    <w:rsid w:val="0018646C"/>
    <w:rsid w:val="00191318"/>
    <w:rsid w:val="0019184D"/>
    <w:rsid w:val="00191BC0"/>
    <w:rsid w:val="00192DA1"/>
    <w:rsid w:val="00193992"/>
    <w:rsid w:val="00194434"/>
    <w:rsid w:val="001976BB"/>
    <w:rsid w:val="001A0C2C"/>
    <w:rsid w:val="001A737D"/>
    <w:rsid w:val="001B5762"/>
    <w:rsid w:val="001B6FB5"/>
    <w:rsid w:val="001B75C2"/>
    <w:rsid w:val="001B75DB"/>
    <w:rsid w:val="001B7DD6"/>
    <w:rsid w:val="001C064E"/>
    <w:rsid w:val="001C3065"/>
    <w:rsid w:val="001C3E0B"/>
    <w:rsid w:val="001C64B8"/>
    <w:rsid w:val="001C755A"/>
    <w:rsid w:val="001D2F84"/>
    <w:rsid w:val="001D3EB1"/>
    <w:rsid w:val="001D4D64"/>
    <w:rsid w:val="001D6734"/>
    <w:rsid w:val="001D6E11"/>
    <w:rsid w:val="001D7B78"/>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1F7AE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1CDA"/>
    <w:rsid w:val="0023236C"/>
    <w:rsid w:val="00233358"/>
    <w:rsid w:val="00233509"/>
    <w:rsid w:val="00233E82"/>
    <w:rsid w:val="00236864"/>
    <w:rsid w:val="00237375"/>
    <w:rsid w:val="00241596"/>
    <w:rsid w:val="00244A8F"/>
    <w:rsid w:val="002542CE"/>
    <w:rsid w:val="0025527C"/>
    <w:rsid w:val="00255914"/>
    <w:rsid w:val="00255FCD"/>
    <w:rsid w:val="00256A51"/>
    <w:rsid w:val="00257006"/>
    <w:rsid w:val="002571F3"/>
    <w:rsid w:val="002620EA"/>
    <w:rsid w:val="002651C6"/>
    <w:rsid w:val="0027050D"/>
    <w:rsid w:val="0027210B"/>
    <w:rsid w:val="00273A9B"/>
    <w:rsid w:val="00274191"/>
    <w:rsid w:val="002746E2"/>
    <w:rsid w:val="00274779"/>
    <w:rsid w:val="002766A5"/>
    <w:rsid w:val="00277029"/>
    <w:rsid w:val="002812DE"/>
    <w:rsid w:val="00284B92"/>
    <w:rsid w:val="00286224"/>
    <w:rsid w:val="002869C9"/>
    <w:rsid w:val="00286BAC"/>
    <w:rsid w:val="002902B6"/>
    <w:rsid w:val="00291D9E"/>
    <w:rsid w:val="00291E34"/>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1A50"/>
    <w:rsid w:val="002C5659"/>
    <w:rsid w:val="002C5C2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0BC"/>
    <w:rsid w:val="003202DE"/>
    <w:rsid w:val="00322933"/>
    <w:rsid w:val="00322DC1"/>
    <w:rsid w:val="003239D3"/>
    <w:rsid w:val="00323AF3"/>
    <w:rsid w:val="0032440F"/>
    <w:rsid w:val="003248B1"/>
    <w:rsid w:val="00324FE9"/>
    <w:rsid w:val="00326E6C"/>
    <w:rsid w:val="00330772"/>
    <w:rsid w:val="00332339"/>
    <w:rsid w:val="00333061"/>
    <w:rsid w:val="0033371B"/>
    <w:rsid w:val="00334914"/>
    <w:rsid w:val="00335E9E"/>
    <w:rsid w:val="00340CF4"/>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0BBE"/>
    <w:rsid w:val="00362818"/>
    <w:rsid w:val="00362E97"/>
    <w:rsid w:val="00362F25"/>
    <w:rsid w:val="00365192"/>
    <w:rsid w:val="0036691F"/>
    <w:rsid w:val="00367456"/>
    <w:rsid w:val="003675FA"/>
    <w:rsid w:val="00371DA2"/>
    <w:rsid w:val="003749EE"/>
    <w:rsid w:val="003763E3"/>
    <w:rsid w:val="00376E03"/>
    <w:rsid w:val="003775FC"/>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E33CB"/>
    <w:rsid w:val="003E5882"/>
    <w:rsid w:val="003F05C5"/>
    <w:rsid w:val="003F1564"/>
    <w:rsid w:val="003F2C49"/>
    <w:rsid w:val="003F3F07"/>
    <w:rsid w:val="003F432B"/>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51FE1"/>
    <w:rsid w:val="004528A2"/>
    <w:rsid w:val="0045397E"/>
    <w:rsid w:val="00453CC2"/>
    <w:rsid w:val="00453DA6"/>
    <w:rsid w:val="0045437B"/>
    <w:rsid w:val="004555D3"/>
    <w:rsid w:val="00455A76"/>
    <w:rsid w:val="00456B2B"/>
    <w:rsid w:val="004600CA"/>
    <w:rsid w:val="0046022E"/>
    <w:rsid w:val="00462C02"/>
    <w:rsid w:val="0046342B"/>
    <w:rsid w:val="00464A7F"/>
    <w:rsid w:val="00467594"/>
    <w:rsid w:val="004675F7"/>
    <w:rsid w:val="00471E21"/>
    <w:rsid w:val="004728FA"/>
    <w:rsid w:val="004737BE"/>
    <w:rsid w:val="00473ADD"/>
    <w:rsid w:val="00474E41"/>
    <w:rsid w:val="00475139"/>
    <w:rsid w:val="00481313"/>
    <w:rsid w:val="004837E2"/>
    <w:rsid w:val="004843CE"/>
    <w:rsid w:val="00484ED3"/>
    <w:rsid w:val="0048503D"/>
    <w:rsid w:val="0048639F"/>
    <w:rsid w:val="00486811"/>
    <w:rsid w:val="00486D66"/>
    <w:rsid w:val="00486E41"/>
    <w:rsid w:val="00487D31"/>
    <w:rsid w:val="0049008E"/>
    <w:rsid w:val="0049320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0FAD"/>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8AF"/>
    <w:rsid w:val="005539EF"/>
    <w:rsid w:val="00553E66"/>
    <w:rsid w:val="005554AF"/>
    <w:rsid w:val="005562B3"/>
    <w:rsid w:val="005573B4"/>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1226"/>
    <w:rsid w:val="00582D49"/>
    <w:rsid w:val="00586228"/>
    <w:rsid w:val="0058718E"/>
    <w:rsid w:val="005902B3"/>
    <w:rsid w:val="00593383"/>
    <w:rsid w:val="00595441"/>
    <w:rsid w:val="00595976"/>
    <w:rsid w:val="00596C9F"/>
    <w:rsid w:val="00597D31"/>
    <w:rsid w:val="005A0994"/>
    <w:rsid w:val="005A1921"/>
    <w:rsid w:val="005A2CF6"/>
    <w:rsid w:val="005A3CF9"/>
    <w:rsid w:val="005A3EDF"/>
    <w:rsid w:val="005A486A"/>
    <w:rsid w:val="005A4F18"/>
    <w:rsid w:val="005A5AFA"/>
    <w:rsid w:val="005A6A66"/>
    <w:rsid w:val="005B139A"/>
    <w:rsid w:val="005B21D8"/>
    <w:rsid w:val="005B2208"/>
    <w:rsid w:val="005B2ACB"/>
    <w:rsid w:val="005B2BB1"/>
    <w:rsid w:val="005B2C1F"/>
    <w:rsid w:val="005B39FC"/>
    <w:rsid w:val="005B3AA5"/>
    <w:rsid w:val="005B3C0E"/>
    <w:rsid w:val="005C0BCA"/>
    <w:rsid w:val="005C1951"/>
    <w:rsid w:val="005C2185"/>
    <w:rsid w:val="005C70D9"/>
    <w:rsid w:val="005D0A8B"/>
    <w:rsid w:val="005D1B50"/>
    <w:rsid w:val="005D347D"/>
    <w:rsid w:val="005D4864"/>
    <w:rsid w:val="005D668B"/>
    <w:rsid w:val="005D7F5F"/>
    <w:rsid w:val="005E08DB"/>
    <w:rsid w:val="005E141E"/>
    <w:rsid w:val="005E31D1"/>
    <w:rsid w:val="005E606D"/>
    <w:rsid w:val="005E659A"/>
    <w:rsid w:val="005F3436"/>
    <w:rsid w:val="005F3B6B"/>
    <w:rsid w:val="005F5417"/>
    <w:rsid w:val="00601E5F"/>
    <w:rsid w:val="0060335C"/>
    <w:rsid w:val="00604E96"/>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842"/>
    <w:rsid w:val="00623A8F"/>
    <w:rsid w:val="00625FA3"/>
    <w:rsid w:val="00633859"/>
    <w:rsid w:val="00633955"/>
    <w:rsid w:val="00635167"/>
    <w:rsid w:val="006359C9"/>
    <w:rsid w:val="0063613C"/>
    <w:rsid w:val="00637B9A"/>
    <w:rsid w:val="00640762"/>
    <w:rsid w:val="00641C39"/>
    <w:rsid w:val="00642616"/>
    <w:rsid w:val="00642B19"/>
    <w:rsid w:val="00643196"/>
    <w:rsid w:val="00645F29"/>
    <w:rsid w:val="00646487"/>
    <w:rsid w:val="00647AC4"/>
    <w:rsid w:val="00650358"/>
    <w:rsid w:val="006511A8"/>
    <w:rsid w:val="00652F2A"/>
    <w:rsid w:val="006531BA"/>
    <w:rsid w:val="00653AF6"/>
    <w:rsid w:val="006545C5"/>
    <w:rsid w:val="00654BED"/>
    <w:rsid w:val="00656A7A"/>
    <w:rsid w:val="00657E81"/>
    <w:rsid w:val="00661E90"/>
    <w:rsid w:val="00665190"/>
    <w:rsid w:val="0066532B"/>
    <w:rsid w:val="00666399"/>
    <w:rsid w:val="006669D7"/>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C54"/>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2935"/>
    <w:rsid w:val="006A3A32"/>
    <w:rsid w:val="006A55D4"/>
    <w:rsid w:val="006A65D3"/>
    <w:rsid w:val="006B0A54"/>
    <w:rsid w:val="006B1045"/>
    <w:rsid w:val="006B13B4"/>
    <w:rsid w:val="006B26E4"/>
    <w:rsid w:val="006B272D"/>
    <w:rsid w:val="006B374B"/>
    <w:rsid w:val="006B3877"/>
    <w:rsid w:val="006B39DB"/>
    <w:rsid w:val="006B592A"/>
    <w:rsid w:val="006C0067"/>
    <w:rsid w:val="006C02C6"/>
    <w:rsid w:val="006C0A92"/>
    <w:rsid w:val="006C0D95"/>
    <w:rsid w:val="006C2113"/>
    <w:rsid w:val="006C2C70"/>
    <w:rsid w:val="006C2CD0"/>
    <w:rsid w:val="006C5A90"/>
    <w:rsid w:val="006C615C"/>
    <w:rsid w:val="006C62C6"/>
    <w:rsid w:val="006C7F88"/>
    <w:rsid w:val="006D0AD3"/>
    <w:rsid w:val="006D26FE"/>
    <w:rsid w:val="006D3081"/>
    <w:rsid w:val="006D46CC"/>
    <w:rsid w:val="006D495B"/>
    <w:rsid w:val="006D7BAD"/>
    <w:rsid w:val="006E1236"/>
    <w:rsid w:val="006E179D"/>
    <w:rsid w:val="006E38A5"/>
    <w:rsid w:val="006E3EA2"/>
    <w:rsid w:val="006E437E"/>
    <w:rsid w:val="006E6145"/>
    <w:rsid w:val="006E77CD"/>
    <w:rsid w:val="006E7EAF"/>
    <w:rsid w:val="006F00A6"/>
    <w:rsid w:val="006F05D6"/>
    <w:rsid w:val="006F0FC2"/>
    <w:rsid w:val="006F2CFA"/>
    <w:rsid w:val="006F3745"/>
    <w:rsid w:val="006F56B8"/>
    <w:rsid w:val="006F71F3"/>
    <w:rsid w:val="006F7B92"/>
    <w:rsid w:val="00703A3D"/>
    <w:rsid w:val="0070576C"/>
    <w:rsid w:val="00712DA7"/>
    <w:rsid w:val="00715225"/>
    <w:rsid w:val="0071632F"/>
    <w:rsid w:val="00716A33"/>
    <w:rsid w:val="00716BFD"/>
    <w:rsid w:val="00717F27"/>
    <w:rsid w:val="007237FF"/>
    <w:rsid w:val="00723F4E"/>
    <w:rsid w:val="00724D01"/>
    <w:rsid w:val="00724FBA"/>
    <w:rsid w:val="00725442"/>
    <w:rsid w:val="00726357"/>
    <w:rsid w:val="00727DD7"/>
    <w:rsid w:val="00731EE4"/>
    <w:rsid w:val="00731F8C"/>
    <w:rsid w:val="007322D3"/>
    <w:rsid w:val="007332A1"/>
    <w:rsid w:val="00733EAF"/>
    <w:rsid w:val="00735A2A"/>
    <w:rsid w:val="00740C9F"/>
    <w:rsid w:val="00740E1C"/>
    <w:rsid w:val="007410AE"/>
    <w:rsid w:val="00741941"/>
    <w:rsid w:val="00742952"/>
    <w:rsid w:val="00744EB6"/>
    <w:rsid w:val="0074519E"/>
    <w:rsid w:val="00747103"/>
    <w:rsid w:val="007518EE"/>
    <w:rsid w:val="0075275C"/>
    <w:rsid w:val="007561F8"/>
    <w:rsid w:val="00756320"/>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2ED"/>
    <w:rsid w:val="00794CA5"/>
    <w:rsid w:val="00796F83"/>
    <w:rsid w:val="00796FF1"/>
    <w:rsid w:val="007A0B0D"/>
    <w:rsid w:val="007A1B62"/>
    <w:rsid w:val="007A2EEF"/>
    <w:rsid w:val="007A44ED"/>
    <w:rsid w:val="007A4995"/>
    <w:rsid w:val="007A6BDE"/>
    <w:rsid w:val="007B1391"/>
    <w:rsid w:val="007B1C20"/>
    <w:rsid w:val="007B1E5F"/>
    <w:rsid w:val="007B3258"/>
    <w:rsid w:val="007B4595"/>
    <w:rsid w:val="007B5E9D"/>
    <w:rsid w:val="007C0935"/>
    <w:rsid w:val="007C133E"/>
    <w:rsid w:val="007C1FB5"/>
    <w:rsid w:val="007C2074"/>
    <w:rsid w:val="007C3F05"/>
    <w:rsid w:val="007C49CA"/>
    <w:rsid w:val="007C68CF"/>
    <w:rsid w:val="007C6A33"/>
    <w:rsid w:val="007C77C7"/>
    <w:rsid w:val="007C7BBB"/>
    <w:rsid w:val="007D107D"/>
    <w:rsid w:val="007D2C0D"/>
    <w:rsid w:val="007D5254"/>
    <w:rsid w:val="007D7FE3"/>
    <w:rsid w:val="007E0AD9"/>
    <w:rsid w:val="007E380D"/>
    <w:rsid w:val="007F1113"/>
    <w:rsid w:val="007F292F"/>
    <w:rsid w:val="007F4A85"/>
    <w:rsid w:val="007F58DA"/>
    <w:rsid w:val="007F6692"/>
    <w:rsid w:val="007F7469"/>
    <w:rsid w:val="007F7CA2"/>
    <w:rsid w:val="008002C6"/>
    <w:rsid w:val="008033D3"/>
    <w:rsid w:val="008039FA"/>
    <w:rsid w:val="00806D67"/>
    <w:rsid w:val="00807199"/>
    <w:rsid w:val="008111F3"/>
    <w:rsid w:val="0081253D"/>
    <w:rsid w:val="00817B89"/>
    <w:rsid w:val="008201AA"/>
    <w:rsid w:val="008204FC"/>
    <w:rsid w:val="00820814"/>
    <w:rsid w:val="008211B5"/>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0CE"/>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77F96"/>
    <w:rsid w:val="00880C96"/>
    <w:rsid w:val="008822C1"/>
    <w:rsid w:val="00882980"/>
    <w:rsid w:val="00883A5D"/>
    <w:rsid w:val="008844CE"/>
    <w:rsid w:val="00884B09"/>
    <w:rsid w:val="00884D68"/>
    <w:rsid w:val="0088649A"/>
    <w:rsid w:val="00886BEE"/>
    <w:rsid w:val="00886CEE"/>
    <w:rsid w:val="00887AA9"/>
    <w:rsid w:val="00887B0F"/>
    <w:rsid w:val="00890782"/>
    <w:rsid w:val="00891FA2"/>
    <w:rsid w:val="00895CDE"/>
    <w:rsid w:val="00897AF0"/>
    <w:rsid w:val="008A07B5"/>
    <w:rsid w:val="008A0D51"/>
    <w:rsid w:val="008A256C"/>
    <w:rsid w:val="008A57DB"/>
    <w:rsid w:val="008B01CD"/>
    <w:rsid w:val="008B0D1C"/>
    <w:rsid w:val="008B15DC"/>
    <w:rsid w:val="008B3B51"/>
    <w:rsid w:val="008B3FB7"/>
    <w:rsid w:val="008B41D8"/>
    <w:rsid w:val="008B4586"/>
    <w:rsid w:val="008B7B98"/>
    <w:rsid w:val="008C05DD"/>
    <w:rsid w:val="008C06EC"/>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8F7596"/>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0CC0"/>
    <w:rsid w:val="00921110"/>
    <w:rsid w:val="009228DB"/>
    <w:rsid w:val="00923F64"/>
    <w:rsid w:val="009270FD"/>
    <w:rsid w:val="009278EA"/>
    <w:rsid w:val="009313E8"/>
    <w:rsid w:val="00934899"/>
    <w:rsid w:val="00936213"/>
    <w:rsid w:val="00936876"/>
    <w:rsid w:val="009375C7"/>
    <w:rsid w:val="009402C3"/>
    <w:rsid w:val="00941188"/>
    <w:rsid w:val="00943513"/>
    <w:rsid w:val="00943763"/>
    <w:rsid w:val="00945679"/>
    <w:rsid w:val="00945F32"/>
    <w:rsid w:val="00946F01"/>
    <w:rsid w:val="009473BA"/>
    <w:rsid w:val="00951483"/>
    <w:rsid w:val="0095257A"/>
    <w:rsid w:val="0095431D"/>
    <w:rsid w:val="009550E3"/>
    <w:rsid w:val="00956751"/>
    <w:rsid w:val="00956E2D"/>
    <w:rsid w:val="00957937"/>
    <w:rsid w:val="00957FD6"/>
    <w:rsid w:val="009639D7"/>
    <w:rsid w:val="00964153"/>
    <w:rsid w:val="00967DFB"/>
    <w:rsid w:val="00970AB6"/>
    <w:rsid w:val="00971CC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B6F9D"/>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8D1"/>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1194"/>
    <w:rsid w:val="00A123CD"/>
    <w:rsid w:val="00A125E8"/>
    <w:rsid w:val="00A1269B"/>
    <w:rsid w:val="00A12D1E"/>
    <w:rsid w:val="00A1442F"/>
    <w:rsid w:val="00A159C5"/>
    <w:rsid w:val="00A161D7"/>
    <w:rsid w:val="00A174F5"/>
    <w:rsid w:val="00A17673"/>
    <w:rsid w:val="00A17BCC"/>
    <w:rsid w:val="00A2136E"/>
    <w:rsid w:val="00A227C9"/>
    <w:rsid w:val="00A23294"/>
    <w:rsid w:val="00A232E3"/>
    <w:rsid w:val="00A23CA5"/>
    <w:rsid w:val="00A23E9B"/>
    <w:rsid w:val="00A24587"/>
    <w:rsid w:val="00A24C00"/>
    <w:rsid w:val="00A25205"/>
    <w:rsid w:val="00A2581B"/>
    <w:rsid w:val="00A26711"/>
    <w:rsid w:val="00A30445"/>
    <w:rsid w:val="00A323F6"/>
    <w:rsid w:val="00A326AD"/>
    <w:rsid w:val="00A32B6F"/>
    <w:rsid w:val="00A34BD7"/>
    <w:rsid w:val="00A36479"/>
    <w:rsid w:val="00A41EDB"/>
    <w:rsid w:val="00A42FAD"/>
    <w:rsid w:val="00A43946"/>
    <w:rsid w:val="00A441F9"/>
    <w:rsid w:val="00A447AD"/>
    <w:rsid w:val="00A45666"/>
    <w:rsid w:val="00A47CAB"/>
    <w:rsid w:val="00A51F5D"/>
    <w:rsid w:val="00A524A4"/>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687A"/>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80A"/>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5E79"/>
    <w:rsid w:val="00AE7C52"/>
    <w:rsid w:val="00AF0D4C"/>
    <w:rsid w:val="00AF2484"/>
    <w:rsid w:val="00AF3716"/>
    <w:rsid w:val="00AF46E2"/>
    <w:rsid w:val="00AF4A0E"/>
    <w:rsid w:val="00AF5073"/>
    <w:rsid w:val="00B01CC7"/>
    <w:rsid w:val="00B01F95"/>
    <w:rsid w:val="00B02A86"/>
    <w:rsid w:val="00B02C17"/>
    <w:rsid w:val="00B02DFE"/>
    <w:rsid w:val="00B031F8"/>
    <w:rsid w:val="00B033C1"/>
    <w:rsid w:val="00B0439E"/>
    <w:rsid w:val="00B053D1"/>
    <w:rsid w:val="00B05C2E"/>
    <w:rsid w:val="00B07A3D"/>
    <w:rsid w:val="00B07D75"/>
    <w:rsid w:val="00B07F08"/>
    <w:rsid w:val="00B10FC1"/>
    <w:rsid w:val="00B12B45"/>
    <w:rsid w:val="00B15081"/>
    <w:rsid w:val="00B25B9D"/>
    <w:rsid w:val="00B2605E"/>
    <w:rsid w:val="00B27E8A"/>
    <w:rsid w:val="00B30930"/>
    <w:rsid w:val="00B30A6E"/>
    <w:rsid w:val="00B30C6F"/>
    <w:rsid w:val="00B32D6C"/>
    <w:rsid w:val="00B33357"/>
    <w:rsid w:val="00B33838"/>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55582"/>
    <w:rsid w:val="00B6194C"/>
    <w:rsid w:val="00B628C3"/>
    <w:rsid w:val="00B64CF8"/>
    <w:rsid w:val="00B664C3"/>
    <w:rsid w:val="00B67525"/>
    <w:rsid w:val="00B70D99"/>
    <w:rsid w:val="00B72D33"/>
    <w:rsid w:val="00B72D43"/>
    <w:rsid w:val="00B7433B"/>
    <w:rsid w:val="00B743D0"/>
    <w:rsid w:val="00B77990"/>
    <w:rsid w:val="00B801D2"/>
    <w:rsid w:val="00B80AD5"/>
    <w:rsid w:val="00B8152C"/>
    <w:rsid w:val="00B82039"/>
    <w:rsid w:val="00B849F6"/>
    <w:rsid w:val="00B85DE2"/>
    <w:rsid w:val="00B87AE3"/>
    <w:rsid w:val="00B93DC1"/>
    <w:rsid w:val="00B95A8A"/>
    <w:rsid w:val="00B9778B"/>
    <w:rsid w:val="00BA345B"/>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3420"/>
    <w:rsid w:val="00BD6270"/>
    <w:rsid w:val="00BE2880"/>
    <w:rsid w:val="00BE3594"/>
    <w:rsid w:val="00BE3990"/>
    <w:rsid w:val="00BE4086"/>
    <w:rsid w:val="00BE5118"/>
    <w:rsid w:val="00BE52DC"/>
    <w:rsid w:val="00BE6A87"/>
    <w:rsid w:val="00BE748F"/>
    <w:rsid w:val="00BF13FD"/>
    <w:rsid w:val="00BF2695"/>
    <w:rsid w:val="00BF372D"/>
    <w:rsid w:val="00BF3D56"/>
    <w:rsid w:val="00BF4A67"/>
    <w:rsid w:val="00BF5939"/>
    <w:rsid w:val="00C024C0"/>
    <w:rsid w:val="00C02DBE"/>
    <w:rsid w:val="00C0447C"/>
    <w:rsid w:val="00C06B92"/>
    <w:rsid w:val="00C126EE"/>
    <w:rsid w:val="00C129D3"/>
    <w:rsid w:val="00C21F5F"/>
    <w:rsid w:val="00C236AA"/>
    <w:rsid w:val="00C310D9"/>
    <w:rsid w:val="00C3133D"/>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56F67"/>
    <w:rsid w:val="00C57145"/>
    <w:rsid w:val="00C62423"/>
    <w:rsid w:val="00C63367"/>
    <w:rsid w:val="00C64AF5"/>
    <w:rsid w:val="00C66162"/>
    <w:rsid w:val="00C66C79"/>
    <w:rsid w:val="00C67344"/>
    <w:rsid w:val="00C67937"/>
    <w:rsid w:val="00C729B7"/>
    <w:rsid w:val="00C7563C"/>
    <w:rsid w:val="00C75735"/>
    <w:rsid w:val="00C75E91"/>
    <w:rsid w:val="00C763B0"/>
    <w:rsid w:val="00C80379"/>
    <w:rsid w:val="00C80589"/>
    <w:rsid w:val="00C830F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6A34"/>
    <w:rsid w:val="00CB77A1"/>
    <w:rsid w:val="00CC0D16"/>
    <w:rsid w:val="00CC17D3"/>
    <w:rsid w:val="00CC2266"/>
    <w:rsid w:val="00CC28D6"/>
    <w:rsid w:val="00CC5E60"/>
    <w:rsid w:val="00CD07F5"/>
    <w:rsid w:val="00CD1BB9"/>
    <w:rsid w:val="00CD1E9F"/>
    <w:rsid w:val="00CD229B"/>
    <w:rsid w:val="00CD2334"/>
    <w:rsid w:val="00CD37E0"/>
    <w:rsid w:val="00CD37F9"/>
    <w:rsid w:val="00CD4987"/>
    <w:rsid w:val="00CD5360"/>
    <w:rsid w:val="00CE0A6B"/>
    <w:rsid w:val="00CE0BB5"/>
    <w:rsid w:val="00CE2323"/>
    <w:rsid w:val="00CE256C"/>
    <w:rsid w:val="00CE660D"/>
    <w:rsid w:val="00CE736B"/>
    <w:rsid w:val="00CE79A6"/>
    <w:rsid w:val="00CF2408"/>
    <w:rsid w:val="00CF3273"/>
    <w:rsid w:val="00CF331B"/>
    <w:rsid w:val="00CF3DE7"/>
    <w:rsid w:val="00CF431D"/>
    <w:rsid w:val="00D00A01"/>
    <w:rsid w:val="00D00CF0"/>
    <w:rsid w:val="00D013BF"/>
    <w:rsid w:val="00D03B52"/>
    <w:rsid w:val="00D03CEF"/>
    <w:rsid w:val="00D10569"/>
    <w:rsid w:val="00D10EED"/>
    <w:rsid w:val="00D15654"/>
    <w:rsid w:val="00D16BD6"/>
    <w:rsid w:val="00D20ED1"/>
    <w:rsid w:val="00D22274"/>
    <w:rsid w:val="00D232E2"/>
    <w:rsid w:val="00D25C1E"/>
    <w:rsid w:val="00D2632D"/>
    <w:rsid w:val="00D26641"/>
    <w:rsid w:val="00D27FAF"/>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77F40"/>
    <w:rsid w:val="00D8064D"/>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33DE"/>
    <w:rsid w:val="00DA5997"/>
    <w:rsid w:val="00DA6A7D"/>
    <w:rsid w:val="00DA6C7D"/>
    <w:rsid w:val="00DB1082"/>
    <w:rsid w:val="00DB12AF"/>
    <w:rsid w:val="00DB3EC8"/>
    <w:rsid w:val="00DB414D"/>
    <w:rsid w:val="00DB44DF"/>
    <w:rsid w:val="00DB4EDE"/>
    <w:rsid w:val="00DB551B"/>
    <w:rsid w:val="00DB5CE8"/>
    <w:rsid w:val="00DB5F12"/>
    <w:rsid w:val="00DB5F26"/>
    <w:rsid w:val="00DB6B40"/>
    <w:rsid w:val="00DC1338"/>
    <w:rsid w:val="00DC24B8"/>
    <w:rsid w:val="00DC253A"/>
    <w:rsid w:val="00DC2CA5"/>
    <w:rsid w:val="00DC3763"/>
    <w:rsid w:val="00DC7AE2"/>
    <w:rsid w:val="00DD1382"/>
    <w:rsid w:val="00DD6C5E"/>
    <w:rsid w:val="00DE19DF"/>
    <w:rsid w:val="00DE1E9C"/>
    <w:rsid w:val="00DE5B87"/>
    <w:rsid w:val="00DE6CA0"/>
    <w:rsid w:val="00DE785E"/>
    <w:rsid w:val="00DE7F7C"/>
    <w:rsid w:val="00DF1401"/>
    <w:rsid w:val="00DF1653"/>
    <w:rsid w:val="00DF1992"/>
    <w:rsid w:val="00DF1A33"/>
    <w:rsid w:val="00DF2B8A"/>
    <w:rsid w:val="00DF4775"/>
    <w:rsid w:val="00DF5D8B"/>
    <w:rsid w:val="00DF781C"/>
    <w:rsid w:val="00E00A83"/>
    <w:rsid w:val="00E0134E"/>
    <w:rsid w:val="00E03A3D"/>
    <w:rsid w:val="00E04487"/>
    <w:rsid w:val="00E05295"/>
    <w:rsid w:val="00E05B49"/>
    <w:rsid w:val="00E05F1F"/>
    <w:rsid w:val="00E0674A"/>
    <w:rsid w:val="00E06A8F"/>
    <w:rsid w:val="00E06E7A"/>
    <w:rsid w:val="00E06EED"/>
    <w:rsid w:val="00E06F77"/>
    <w:rsid w:val="00E07211"/>
    <w:rsid w:val="00E0799E"/>
    <w:rsid w:val="00E1047B"/>
    <w:rsid w:val="00E133E2"/>
    <w:rsid w:val="00E1364C"/>
    <w:rsid w:val="00E15894"/>
    <w:rsid w:val="00E167E0"/>
    <w:rsid w:val="00E20CDC"/>
    <w:rsid w:val="00E222E2"/>
    <w:rsid w:val="00E223BE"/>
    <w:rsid w:val="00E22F91"/>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560"/>
    <w:rsid w:val="00E52F73"/>
    <w:rsid w:val="00E53A94"/>
    <w:rsid w:val="00E55DD4"/>
    <w:rsid w:val="00E57D33"/>
    <w:rsid w:val="00E62A86"/>
    <w:rsid w:val="00E63174"/>
    <w:rsid w:val="00E64B3C"/>
    <w:rsid w:val="00E65A7E"/>
    <w:rsid w:val="00E67FE8"/>
    <w:rsid w:val="00E70795"/>
    <w:rsid w:val="00E71716"/>
    <w:rsid w:val="00E73196"/>
    <w:rsid w:val="00E75E2B"/>
    <w:rsid w:val="00E77436"/>
    <w:rsid w:val="00E81E77"/>
    <w:rsid w:val="00E8209A"/>
    <w:rsid w:val="00E8287E"/>
    <w:rsid w:val="00E832D9"/>
    <w:rsid w:val="00E83F47"/>
    <w:rsid w:val="00E8495F"/>
    <w:rsid w:val="00E8539B"/>
    <w:rsid w:val="00E86F2E"/>
    <w:rsid w:val="00E86F78"/>
    <w:rsid w:val="00E902E5"/>
    <w:rsid w:val="00E9071A"/>
    <w:rsid w:val="00E90D94"/>
    <w:rsid w:val="00E91A17"/>
    <w:rsid w:val="00E9218B"/>
    <w:rsid w:val="00E95C5F"/>
    <w:rsid w:val="00EA053D"/>
    <w:rsid w:val="00EA3AD7"/>
    <w:rsid w:val="00EA5410"/>
    <w:rsid w:val="00EA609D"/>
    <w:rsid w:val="00EA6372"/>
    <w:rsid w:val="00EA7532"/>
    <w:rsid w:val="00EA776D"/>
    <w:rsid w:val="00EB03D9"/>
    <w:rsid w:val="00EB146A"/>
    <w:rsid w:val="00EB214D"/>
    <w:rsid w:val="00EB2809"/>
    <w:rsid w:val="00EB28E6"/>
    <w:rsid w:val="00EB3111"/>
    <w:rsid w:val="00EB3177"/>
    <w:rsid w:val="00EB3675"/>
    <w:rsid w:val="00EB555F"/>
    <w:rsid w:val="00EB5E50"/>
    <w:rsid w:val="00EB635C"/>
    <w:rsid w:val="00EB6C8C"/>
    <w:rsid w:val="00EB7342"/>
    <w:rsid w:val="00EB7DAB"/>
    <w:rsid w:val="00EB7E2F"/>
    <w:rsid w:val="00EC1306"/>
    <w:rsid w:val="00EC160A"/>
    <w:rsid w:val="00EC2D61"/>
    <w:rsid w:val="00EC2E99"/>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8E7"/>
    <w:rsid w:val="00EF4ABE"/>
    <w:rsid w:val="00EF4CE5"/>
    <w:rsid w:val="00EF54BC"/>
    <w:rsid w:val="00EF5714"/>
    <w:rsid w:val="00EF5B2F"/>
    <w:rsid w:val="00EF6741"/>
    <w:rsid w:val="00EF7337"/>
    <w:rsid w:val="00EF7557"/>
    <w:rsid w:val="00F00F09"/>
    <w:rsid w:val="00F01945"/>
    <w:rsid w:val="00F01E39"/>
    <w:rsid w:val="00F06388"/>
    <w:rsid w:val="00F11C72"/>
    <w:rsid w:val="00F12061"/>
    <w:rsid w:val="00F122E3"/>
    <w:rsid w:val="00F12B63"/>
    <w:rsid w:val="00F13CD3"/>
    <w:rsid w:val="00F1412E"/>
    <w:rsid w:val="00F179C2"/>
    <w:rsid w:val="00F21B4E"/>
    <w:rsid w:val="00F2381E"/>
    <w:rsid w:val="00F248FC"/>
    <w:rsid w:val="00F30063"/>
    <w:rsid w:val="00F33153"/>
    <w:rsid w:val="00F3347A"/>
    <w:rsid w:val="00F36A3A"/>
    <w:rsid w:val="00F36BF3"/>
    <w:rsid w:val="00F3737F"/>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5E7"/>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0F05"/>
    <w:rsid w:val="00F928B2"/>
    <w:rsid w:val="00F93613"/>
    <w:rsid w:val="00F939C5"/>
    <w:rsid w:val="00F941F0"/>
    <w:rsid w:val="00F94DB7"/>
    <w:rsid w:val="00F95960"/>
    <w:rsid w:val="00F95AEF"/>
    <w:rsid w:val="00F96989"/>
    <w:rsid w:val="00F9730B"/>
    <w:rsid w:val="00F9769E"/>
    <w:rsid w:val="00FA197E"/>
    <w:rsid w:val="00FA2299"/>
    <w:rsid w:val="00FA34A7"/>
    <w:rsid w:val="00FA5384"/>
    <w:rsid w:val="00FA74FF"/>
    <w:rsid w:val="00FB09F3"/>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A99"/>
    <w:rsid w:val="00FD0B8F"/>
    <w:rsid w:val="00FD12EE"/>
    <w:rsid w:val="00FD580D"/>
    <w:rsid w:val="00FD6DF6"/>
    <w:rsid w:val="00FE0019"/>
    <w:rsid w:val="00FE066F"/>
    <w:rsid w:val="00FE0CCE"/>
    <w:rsid w:val="00FE1A4C"/>
    <w:rsid w:val="00FE1E2B"/>
    <w:rsid w:val="00FE29ED"/>
    <w:rsid w:val="00FE5E84"/>
    <w:rsid w:val="00FE6A07"/>
    <w:rsid w:val="00FE7C54"/>
    <w:rsid w:val="00FF0AF0"/>
    <w:rsid w:val="00FF4109"/>
    <w:rsid w:val="00FF4145"/>
    <w:rsid w:val="00FF4824"/>
    <w:rsid w:val="00FF5A80"/>
    <w:rsid w:val="00FF6540"/>
    <w:rsid w:val="00FF6EC5"/>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522162-7331-4F4C-82A8-83535FB5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character" w:styleId="Strong">
    <w:name w:val="Strong"/>
    <w:uiPriority w:val="22"/>
    <w:qFormat/>
    <w:rsid w:val="00581226"/>
    <w:rPr>
      <w:b/>
      <w:bCs/>
    </w:rPr>
  </w:style>
  <w:style w:type="paragraph" w:customStyle="1" w:styleId="t">
    <w:name w:val="t"/>
    <w:basedOn w:val="Normal"/>
    <w:qFormat/>
    <w:rsid w:val="00C57145"/>
    <w:rPr>
      <w:rFonts w:ascii="Arial" w:hAnsi="Arial" w:cs="Arial"/>
      <w:w w:val="85"/>
      <w:sz w:val="20"/>
      <w:szCs w:val="20"/>
    </w:rPr>
  </w:style>
  <w:style w:type="paragraph" w:customStyle="1" w:styleId="e">
    <w:name w:val="e"/>
    <w:basedOn w:val="Normal"/>
    <w:qFormat/>
    <w:rsid w:val="00C57145"/>
    <w:pPr>
      <w:spacing w:before="60" w:after="60"/>
      <w:jc w:val="center"/>
    </w:pPr>
    <w:rPr>
      <w:rFonts w:ascii="Arial" w:hAnsi="Arial" w:cs="Arial"/>
      <w:b/>
      <w:w w:val="9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DBC2D40-E68D-427E-BC2B-C21BE70F79F0}"/>
</file>

<file path=customXml/itemProps2.xml><?xml version="1.0" encoding="utf-8"?>
<ds:datastoreItem xmlns:ds="http://schemas.openxmlformats.org/officeDocument/2006/customXml" ds:itemID="{E30F9551-C817-4EFA-859E-A0E448EB44BA}"/>
</file>

<file path=customXml/itemProps3.xml><?xml version="1.0" encoding="utf-8"?>
<ds:datastoreItem xmlns:ds="http://schemas.openxmlformats.org/officeDocument/2006/customXml" ds:itemID="{70576C1A-FF7C-4DC2-94AB-D4ECD67CEE0F}"/>
</file>

<file path=customXml/itemProps4.xml><?xml version="1.0" encoding="utf-8"?>
<ds:datastoreItem xmlns:ds="http://schemas.openxmlformats.org/officeDocument/2006/customXml" ds:itemID="{EA7C8D47-496B-4896-9EB7-D562D745D429}"/>
</file>

<file path=docProps/app.xml><?xml version="1.0" encoding="utf-8"?>
<Properties xmlns="http://schemas.openxmlformats.org/officeDocument/2006/extended-properties" xmlns:vt="http://schemas.openxmlformats.org/officeDocument/2006/docPropsVTypes">
  <Template>Normal</Template>
  <TotalTime>18</TotalTime>
  <Pages>9</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2017-10-16T09:02:00Z</cp:lastPrinted>
  <dcterms:created xsi:type="dcterms:W3CDTF">2023-08-02T08:25:00Z</dcterms:created>
  <dcterms:modified xsi:type="dcterms:W3CDTF">2023-08-15T08:37:00Z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